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0"/>
        <w:jc w:val="center"/>
      </w:pPr>
      <w:r>
        <w:rPr>
          <w:b/>
          <w:color w:val="C00000"/>
          <w:sz w:val="26"/>
        </w:rPr>
        <w:t>CADANGAN KERJASAMA STRATEGIK</w:t>
      </w:r>
    </w:p>
    <w:p>
      <w:pPr>
        <w:jc w:val="center"/>
      </w:pPr>
      <w:r>
        <w:rPr>
          <w:b/>
          <w:color w:val="17365D"/>
          <w:sz w:val="54"/>
        </w:rPr>
        <w:t>DMDI SME DIGITAL TRANSFORMATION</w:t>
        <w:br/>
        <w:t>&amp; AGENTIC AI PROGRAMME</w:t>
      </w:r>
    </w:p>
    <w:p>
      <w:pPr>
        <w:jc w:val="center"/>
      </w:pPr>
      <w:r>
        <w:rPr>
          <w:i/>
          <w:color w:val="1F4E79"/>
          <w:sz w:val="24"/>
        </w:rPr>
        <w:t>Building Digital Businesses • Developing AI-Ready Entrepreneurs • Transforming DMDI</w:t>
      </w:r>
    </w:p>
    <w:p>
      <w:pPr>
        <w:spacing w:after="100"/>
        <w:pBdr>
          <w:bottom w:val="single" w:sz="18" w:space="1" w:color="C00000"/>
        </w:pBdr>
      </w:pPr>
    </w:p>
    <w:p>
      <w:pPr>
        <w:spacing w:before="400"/>
        <w:jc w:val="center"/>
      </w:pPr>
      <w:r>
        <w:rPr>
          <w:b/>
          <w:color w:val="1F1F1F"/>
          <w:sz w:val="26"/>
        </w:rPr>
        <w:t>Dikemukakan kepada</w:t>
        <w:br/>
        <w:t>Pengurusan Tertinggi</w:t>
        <w:br/>
        <w:t>Dunia Melayu Dunia Islam (DMDI)</w:t>
      </w:r>
    </w:p>
    <w:p>
      <w:pPr>
        <w:spacing w:before="560"/>
        <w:jc w:val="center"/>
      </w:pPr>
      <w:r>
        <w:rPr>
          <w:color w:val="1F4E79"/>
          <w:sz w:val="24"/>
        </w:rPr>
        <w:t>Dicadangkan oleh</w:t>
        <w:br/>
        <w:t>AINNA</w:t>
        <w:br/>
        <w:t>Technology &amp; Implementation Partner</w:t>
      </w:r>
    </w:p>
    <w:p>
      <w:pPr>
        <w:spacing w:before="900"/>
        <w:jc w:val="center"/>
      </w:pPr>
      <w:r>
        <w:rPr>
          <w:color w:val="666666"/>
          <w:sz w:val="20"/>
        </w:rPr>
        <w:t>September 2026</w:t>
      </w:r>
    </w:p>
    <w:p>
      <w:r>
        <w:br w:type="page"/>
      </w:r>
    </w:p>
    <w:p>
      <w:pPr>
        <w:pStyle w:val="Heading1"/>
      </w:pPr>
      <w:r>
        <w:t>Ringkasan Eksekutif</w:t>
      </w:r>
    </w:p>
    <w:p>
      <w:r>
        <w:t>Cadangan ini mengemukakan satu kerjasama strategik antara DMDI dan AINNA untuk membangunkan program transformasi perusahaan mikro, kecil dan sederhana (PMKS/SME) yang menggabungkan latihan, pembangunan sistem sebenar, pendigitalan operasi, pengurusan kewangan, automasi dan Agentic AI. Pendekatan ini direka supaya latihan bukan menjadi hasil akhir; hasil akhirnya ialah sebuah perniagaan yang mempunyai infrastruktur digital yang boleh digunakan dan dipertingkatkan.</w:t>
      </w:r>
    </w:p>
    <w:p>
      <w:r>
        <w:t>Pada masa yang sama, cadangan ini menyediakan laluan transformasi untuk DMDI sendiri melalui sebuah SME Command Centre dan lapisan Executive AI Agent. DMDI boleh memantau kemajuan cohort, penggunaan sistem, isu intervensi, KPI program dan ringkasan pengurusan melalui data yang dibenarkan.</w:t>
      </w:r>
    </w:p>
    <w:p>
      <w:r>
        <w:t>Cadangan ini sejajar dengan fungsi ekonomi DMDI yang memberi tumpuan kepada pemerkasaan keusahawanan, jaringan perniagaan dan pembangunan ekonomi. DMDI juga mempunyai rekod kerjasama dengan SME Corp Malaysia dalam program memperkasa keusahawanan dan PMKS, termasuk usaha akses pasaran. Rangkaian DMDI yang merangkumi 23 negara memberi ruang kepada model ini untuk dikembangkan selepas pilot tempatan berjaya.</w:t>
      </w:r>
    </w:p>
    <w:tbl>
      <w:tblPr>
        <w:tblStyle w:val="TableGrid"/>
        <w:tblW w:type="auto" w:w="0"/>
        <w:jc w:val="center"/>
        <w:tblLook w:firstColumn="1" w:firstRow="1" w:lastColumn="0" w:lastRow="0" w:noHBand="0" w:noVBand="1" w:val="04A0"/>
      </w:tblPr>
      <w:tblGrid>
        <w:gridCol w:w="2520"/>
        <w:gridCol w:w="2520"/>
        <w:gridCol w:w="2520"/>
        <w:gridCol w:w="2520"/>
      </w:tblGrid>
      <w:tr>
        <w:tc>
          <w:tcPr>
            <w:tcW w:type="dxa" w:w="2520"/>
            <w:vAlign w:val="center"/>
            <w:shd w:fill="17365D"/>
          </w:tcPr>
          <w:p>
            <w:r/>
            <w:r>
              <w:rPr>
                <w:rFonts w:ascii="Aptos" w:hAnsi="Aptos"/>
                <w:b/>
                <w:color w:val="FFFFFF"/>
                <w:sz w:val="18"/>
              </w:rPr>
              <w:t>Model</w:t>
            </w:r>
          </w:p>
        </w:tc>
        <w:tc>
          <w:tcPr>
            <w:tcW w:type="dxa" w:w="2520"/>
            <w:vAlign w:val="center"/>
            <w:shd w:fill="17365D"/>
          </w:tcPr>
          <w:p>
            <w:r/>
            <w:r>
              <w:rPr>
                <w:rFonts w:ascii="Aptos" w:hAnsi="Aptos"/>
                <w:b/>
                <w:color w:val="FFFFFF"/>
                <w:sz w:val="18"/>
              </w:rPr>
              <w:t>Cohort Pilot</w:t>
            </w:r>
          </w:p>
        </w:tc>
        <w:tc>
          <w:tcPr>
            <w:tcW w:type="dxa" w:w="2520"/>
            <w:vAlign w:val="center"/>
            <w:shd w:fill="17365D"/>
          </w:tcPr>
          <w:p>
            <w:r/>
            <w:r>
              <w:rPr>
                <w:rFonts w:ascii="Aptos" w:hAnsi="Aptos"/>
                <w:b/>
                <w:color w:val="FFFFFF"/>
                <w:sz w:val="18"/>
              </w:rPr>
              <w:t>Tempoh</w:t>
            </w:r>
          </w:p>
        </w:tc>
        <w:tc>
          <w:tcPr>
            <w:tcW w:type="dxa" w:w="2520"/>
            <w:vAlign w:val="center"/>
            <w:shd w:fill="17365D"/>
          </w:tcPr>
          <w:p>
            <w:r/>
            <w:r>
              <w:rPr>
                <w:rFonts w:ascii="Aptos" w:hAnsi="Aptos"/>
                <w:b/>
                <w:color w:val="FFFFFF"/>
                <w:sz w:val="18"/>
              </w:rPr>
              <w:t>Hasil Utama</w:t>
            </w:r>
          </w:p>
        </w:tc>
      </w:tr>
      <w:tr>
        <w:tc>
          <w:tcPr>
            <w:tcW w:type="dxa" w:w="2520"/>
            <w:vAlign w:val="center"/>
          </w:tcPr>
          <w:p>
            <w:r/>
            <w:r>
              <w:rPr>
                <w:rFonts w:ascii="Aptos" w:hAnsi="Aptos"/>
                <w:b w:val="0"/>
                <w:color w:val="1F1F1F"/>
                <w:sz w:val="18"/>
              </w:rPr>
              <w:t>Learn → Build → Deploy → Operate</w:t>
            </w:r>
          </w:p>
        </w:tc>
        <w:tc>
          <w:tcPr>
            <w:tcW w:type="dxa" w:w="2520"/>
            <w:vAlign w:val="center"/>
          </w:tcPr>
          <w:p>
            <w:r/>
            <w:r>
              <w:rPr>
                <w:rFonts w:ascii="Aptos" w:hAnsi="Aptos"/>
                <w:b w:val="0"/>
                <w:color w:val="1F1F1F"/>
                <w:sz w:val="18"/>
              </w:rPr>
              <w:t>10–20 SME</w:t>
            </w:r>
          </w:p>
        </w:tc>
        <w:tc>
          <w:tcPr>
            <w:tcW w:type="dxa" w:w="2520"/>
            <w:vAlign w:val="center"/>
          </w:tcPr>
          <w:p>
            <w:r/>
            <w:r>
              <w:rPr>
                <w:rFonts w:ascii="Aptos" w:hAnsi="Aptos"/>
                <w:b w:val="0"/>
                <w:color w:val="1F1F1F"/>
                <w:sz w:val="18"/>
              </w:rPr>
              <w:t>10 hari / modular</w:t>
            </w:r>
          </w:p>
        </w:tc>
        <w:tc>
          <w:tcPr>
            <w:tcW w:type="dxa" w:w="2520"/>
            <w:vAlign w:val="center"/>
          </w:tcPr>
          <w:p>
            <w:r/>
            <w:r>
              <w:rPr>
                <w:rFonts w:ascii="Aptos" w:hAnsi="Aptos"/>
                <w:b w:val="0"/>
                <w:color w:val="1F1F1F"/>
                <w:sz w:val="18"/>
              </w:rPr>
              <w:t>Working digital business + AI readiness</w:t>
            </w:r>
          </w:p>
        </w:tc>
      </w:tr>
    </w:tbl>
    <w:p>
      <w:pPr>
        <w:pStyle w:val="SmallNote"/>
      </w:pPr>
      <w:r>
        <w:t>Nota: Skop komersial, kos, lesen model AI, domain, hosting dan penyelenggaraan akan dimuktamadkan selepas sesi discovery dan persetujuan skop pilot.</w:t>
      </w:r>
    </w:p>
    <w:p>
      <w:pPr>
        <w:pStyle w:val="Heading1"/>
      </w:pPr>
      <w:r>
        <w:t>1. Latar Belakang &amp; Rasional</w:t>
      </w:r>
    </w:p>
    <w:p>
      <w:r>
        <w:t>Cabaran utama transformasi digital SME bukan sekadar kekurangan pendedahan kepada AI. Banyak SME masih mengendalikan data, inventori, jualan, pelanggan, dokumen dan rekod kewangan secara berasingan. Jika AI diletakkan terus di atas proses yang tidak tersusun, nilai AI menjadi terhad. Oleh itu, cadangan AINNA bermula dengan membina asas digital dan data terlebih dahulu, kemudian mengautomasi proses, dan seterusnya memperkenalkan AI serta specialised agents berdasarkan keperluan sebenar perniagaan.</w:t>
      </w:r>
    </w:p>
    <w:p>
      <w:pPr>
        <w:pStyle w:val="ListBullet"/>
        <w:spacing w:after="60"/>
      </w:pPr>
      <w:r>
        <w:t>Latihan disepadukan dengan pembangunan aset digital sebenar milik SME.</w:t>
      </w:r>
    </w:p>
    <w:p>
      <w:pPr>
        <w:pStyle w:val="ListBullet"/>
        <w:spacing w:after="60"/>
      </w:pPr>
      <w:r>
        <w:t>Setiap SME menggunakan data dan proses perniagaan sendiri sepanjang program.</w:t>
      </w:r>
    </w:p>
    <w:p>
      <w:pPr>
        <w:pStyle w:val="ListBullet"/>
        <w:spacing w:after="60"/>
      </w:pPr>
      <w:r>
        <w:t>Modul dibina secara progresif: digital foundation → business system → finance → automation → Agentic AI.</w:t>
      </w:r>
    </w:p>
    <w:p>
      <w:pPr>
        <w:pStyle w:val="ListBullet"/>
        <w:spacing w:after="60"/>
      </w:pPr>
      <w:r>
        <w:t>DMDI mempunyai visibility terhadap kemajuan program melalui dashboard pengurusan tanpa mencampurkan data sulit antara SME.</w:t>
      </w:r>
    </w:p>
    <w:p>
      <w:pPr>
        <w:pStyle w:val="ListBullet"/>
        <w:spacing w:after="60"/>
      </w:pPr>
      <w:r>
        <w:t>Model boleh dimulakan sebagai pilot kecil dan diskalakan secara berfasa.</w:t>
      </w:r>
    </w:p>
    <w:p>
      <w:pPr>
        <w:pStyle w:val="Heading1"/>
      </w:pPr>
      <w:r>
        <w:t>2. Matlamat Cadangan</w:t>
      </w:r>
    </w:p>
    <w:p>
      <w:pPr>
        <w:pStyle w:val="ListNumber"/>
        <w:spacing w:after="60"/>
      </w:pPr>
      <w:r>
        <w:t>Meningkatkan keupayaan digital SME dalam ekosistem DMDI melalui latihan hands-on dan pembangunan sistem.</w:t>
      </w:r>
    </w:p>
    <w:p>
      <w:pPr>
        <w:pStyle w:val="ListNumber"/>
        <w:spacing w:after="60"/>
      </w:pPr>
      <w:r>
        <w:t>Membantu SME membina infrastruktur perniagaan digital yang boleh digunakan selepas tamat program.</w:t>
      </w:r>
    </w:p>
    <w:p>
      <w:pPr>
        <w:pStyle w:val="ListNumber"/>
        <w:spacing w:after="60"/>
      </w:pPr>
      <w:r>
        <w:t>Menyusun data operasi dan kewangan supaya keputusan perniagaan boleh dibuat berasaskan maklumat yang lebih jelas.</w:t>
      </w:r>
    </w:p>
    <w:p>
      <w:pPr>
        <w:pStyle w:val="ListNumber"/>
        <w:spacing w:after="60"/>
      </w:pPr>
      <w:r>
        <w:t>Memperkenalkan automasi dan Agentic AI secara praktikal berdasarkan proses perniagaan sebenar.</w:t>
      </w:r>
    </w:p>
    <w:p>
      <w:pPr>
        <w:pStyle w:val="ListNumber"/>
        <w:spacing w:after="60"/>
      </w:pPr>
      <w:r>
        <w:t>Mewujudkan SME Command Centre untuk DMDI memantau program, outcome, isu dan keperluan intervensi.</w:t>
      </w:r>
    </w:p>
    <w:p>
      <w:pPr>
        <w:pStyle w:val="ListNumber"/>
        <w:spacing w:after="60"/>
      </w:pPr>
      <w:r>
        <w:t>Menyediakan asas yang boleh dikembangkan kepada cohort, negeri dan rangkaian antarabangsa DMDI.</w:t>
      </w:r>
    </w:p>
    <w:p>
      <w:r>
        <w:br w:type="page"/>
      </w:r>
    </w:p>
    <w:p>
      <w:pPr>
        <w:pStyle w:val="Heading1"/>
      </w:pPr>
      <w:r>
        <w:t>3. Cadangan Model Transformasi</w:t>
      </w:r>
    </w:p>
    <w:p>
      <w:r>
        <w:t>Program dicadangkan dalam tiga lapisan yang saling melengkapi:</w:t>
      </w:r>
    </w:p>
    <w:p>
      <w:pPr>
        <w:pStyle w:val="Heading2"/>
      </w:pPr>
      <w:r>
        <w:t>Lapisan 1 — Training &amp; Capability Building</w:t>
      </w:r>
    </w:p>
    <w:p>
      <w:r>
        <w:t>Latihan berstruktur untuk pemilik/pengurus SME. Peserta belajar konsep sambil terus membina komponen perniagaan digital mereka.</w:t>
      </w:r>
    </w:p>
    <w:p>
      <w:pPr>
        <w:pStyle w:val="Heading2"/>
      </w:pPr>
      <w:r>
        <w:t>Lapisan 2 — Build &amp; Deploy</w:t>
      </w:r>
    </w:p>
    <w:p>
      <w:r>
        <w:t>AINNA membimbing peserta membina dan menguji website, dashboard, operational modules, financial workflow, automasi dan komponen AI mengikut tahap program.</w:t>
      </w:r>
    </w:p>
    <w:p>
      <w:pPr>
        <w:pStyle w:val="Heading2"/>
      </w:pPr>
      <w:r>
        <w:t>Lapisan 3 — DMDI Intelligence Layer</w:t>
      </w:r>
    </w:p>
    <w:p>
      <w:r>
        <w:t>DMDI mempunyai central programme dashboard dan, apabila data serta governance telah matang, Executive AI Agent untuk query, ringkasan, reporting dan intervention support.</w:t>
      </w:r>
    </w:p>
    <w:p>
      <w:pPr>
        <w:pStyle w:val="Heading1"/>
      </w:pPr>
      <w:r>
        <w:t>4. Struktur Program 10 Hari</w:t>
      </w:r>
    </w:p>
    <w:tbl>
      <w:tblPr>
        <w:tblStyle w:val="TableGrid"/>
        <w:tblW w:type="auto" w:w="0"/>
        <w:jc w:val="center"/>
        <w:tblLook w:firstColumn="1" w:firstRow="1" w:lastColumn="0" w:lastRow="0" w:noHBand="0" w:noVBand="1" w:val="04A0"/>
      </w:tblPr>
      <w:tblGrid>
        <w:gridCol w:w="2016"/>
        <w:gridCol w:w="2016"/>
        <w:gridCol w:w="2016"/>
        <w:gridCol w:w="2016"/>
        <w:gridCol w:w="2016"/>
      </w:tblGrid>
      <w:tr>
        <w:tc>
          <w:tcPr>
            <w:tcW w:type="dxa" w:w="2016"/>
            <w:vAlign w:val="center"/>
            <w:shd w:fill="17365D"/>
          </w:tcPr>
          <w:p>
            <w:r/>
            <w:r>
              <w:rPr>
                <w:rFonts w:ascii="Aptos" w:hAnsi="Aptos"/>
                <w:b/>
                <w:color w:val="FFFFFF"/>
                <w:sz w:val="17"/>
              </w:rPr>
              <w:t>Tahap</w:t>
            </w:r>
          </w:p>
        </w:tc>
        <w:tc>
          <w:tcPr>
            <w:tcW w:type="dxa" w:w="2016"/>
            <w:vAlign w:val="center"/>
            <w:shd w:fill="17365D"/>
          </w:tcPr>
          <w:p>
            <w:r/>
            <w:r>
              <w:rPr>
                <w:rFonts w:ascii="Aptos" w:hAnsi="Aptos"/>
                <w:b/>
                <w:color w:val="FFFFFF"/>
                <w:sz w:val="17"/>
              </w:rPr>
              <w:t>Tempoh</w:t>
            </w:r>
          </w:p>
        </w:tc>
        <w:tc>
          <w:tcPr>
            <w:tcW w:type="dxa" w:w="2016"/>
            <w:vAlign w:val="center"/>
            <w:shd w:fill="17365D"/>
          </w:tcPr>
          <w:p>
            <w:r/>
            <w:r>
              <w:rPr>
                <w:rFonts w:ascii="Aptos" w:hAnsi="Aptos"/>
                <w:b/>
                <w:color w:val="FFFFFF"/>
                <w:sz w:val="17"/>
              </w:rPr>
              <w:t>Fokus</w:t>
            </w:r>
          </w:p>
        </w:tc>
        <w:tc>
          <w:tcPr>
            <w:tcW w:type="dxa" w:w="2016"/>
            <w:vAlign w:val="center"/>
            <w:shd w:fill="17365D"/>
          </w:tcPr>
          <w:p>
            <w:r/>
            <w:r>
              <w:rPr>
                <w:rFonts w:ascii="Aptos" w:hAnsi="Aptos"/>
                <w:b/>
                <w:color w:val="FFFFFF"/>
                <w:sz w:val="17"/>
              </w:rPr>
              <w:t>Aktiviti Utama</w:t>
            </w:r>
          </w:p>
        </w:tc>
        <w:tc>
          <w:tcPr>
            <w:tcW w:type="dxa" w:w="2016"/>
            <w:vAlign w:val="center"/>
            <w:shd w:fill="17365D"/>
          </w:tcPr>
          <w:p>
            <w:r/>
            <w:r>
              <w:rPr>
                <w:rFonts w:ascii="Aptos" w:hAnsi="Aptos"/>
                <w:b/>
                <w:color w:val="FFFFFF"/>
                <w:sz w:val="17"/>
              </w:rPr>
              <w:t>Output</w:t>
            </w:r>
          </w:p>
        </w:tc>
      </w:tr>
      <w:tr>
        <w:tc>
          <w:tcPr>
            <w:tcW w:type="dxa" w:w="2016"/>
            <w:vAlign w:val="center"/>
          </w:tcPr>
          <w:p>
            <w:r/>
            <w:r>
              <w:rPr>
                <w:rFonts w:ascii="Aptos" w:hAnsi="Aptos"/>
                <w:b w:val="0"/>
                <w:color w:val="1F1F1F"/>
                <w:sz w:val="17"/>
              </w:rPr>
              <w:t>Level 1</w:t>
              <w:br/>
              <w:t>Digital Foundation</w:t>
            </w:r>
          </w:p>
        </w:tc>
        <w:tc>
          <w:tcPr>
            <w:tcW w:type="dxa" w:w="2016"/>
            <w:vAlign w:val="center"/>
          </w:tcPr>
          <w:p>
            <w:r/>
            <w:r>
              <w:rPr>
                <w:rFonts w:ascii="Aptos" w:hAnsi="Aptos"/>
                <w:b w:val="0"/>
                <w:color w:val="1F1F1F"/>
                <w:sz w:val="17"/>
              </w:rPr>
              <w:t>3 hari</w:t>
            </w:r>
          </w:p>
        </w:tc>
        <w:tc>
          <w:tcPr>
            <w:tcW w:type="dxa" w:w="2016"/>
            <w:vAlign w:val="center"/>
          </w:tcPr>
          <w:p>
            <w:r/>
            <w:r>
              <w:rPr>
                <w:rFonts w:ascii="Aptos" w:hAnsi="Aptos"/>
                <w:b w:val="0"/>
                <w:color w:val="1F1F1F"/>
                <w:sz w:val="17"/>
              </w:rPr>
              <w:t>Website, SEO, security, dashboard</w:t>
            </w:r>
          </w:p>
        </w:tc>
        <w:tc>
          <w:tcPr>
            <w:tcW w:type="dxa" w:w="2016"/>
            <w:vAlign w:val="center"/>
          </w:tcPr>
          <w:p>
            <w:r/>
            <w:r>
              <w:rPr>
                <w:rFonts w:ascii="Aptos" w:hAnsi="Aptos"/>
                <w:b w:val="0"/>
                <w:color w:val="1F1F1F"/>
                <w:sz w:val="17"/>
              </w:rPr>
              <w:t>Digital audit; struktur website; content; basic SEO; security hygiene; management dashboard</w:t>
            </w:r>
          </w:p>
        </w:tc>
        <w:tc>
          <w:tcPr>
            <w:tcW w:type="dxa" w:w="2016"/>
            <w:vAlign w:val="center"/>
          </w:tcPr>
          <w:p>
            <w:r/>
            <w:r>
              <w:rPr>
                <w:rFonts w:ascii="Aptos" w:hAnsi="Aptos"/>
                <w:b w:val="0"/>
                <w:color w:val="1F1F1F"/>
                <w:sz w:val="17"/>
              </w:rPr>
              <w:t>Digital presence + asas dashboard</w:t>
            </w:r>
          </w:p>
        </w:tc>
      </w:tr>
      <w:tr>
        <w:tc>
          <w:tcPr>
            <w:tcW w:type="dxa" w:w="2016"/>
            <w:vAlign w:val="center"/>
          </w:tcPr>
          <w:p>
            <w:r/>
            <w:r>
              <w:rPr>
                <w:rFonts w:ascii="Aptos" w:hAnsi="Aptos"/>
                <w:b w:val="0"/>
                <w:color w:val="1F1F1F"/>
                <w:sz w:val="17"/>
              </w:rPr>
              <w:t>Level 2</w:t>
              <w:br/>
              <w:t>Business Digitalisation</w:t>
            </w:r>
          </w:p>
        </w:tc>
        <w:tc>
          <w:tcPr>
            <w:tcW w:type="dxa" w:w="2016"/>
            <w:vAlign w:val="center"/>
          </w:tcPr>
          <w:p>
            <w:r/>
            <w:r>
              <w:rPr>
                <w:rFonts w:ascii="Aptos" w:hAnsi="Aptos"/>
                <w:b w:val="0"/>
                <w:color w:val="1F1F1F"/>
                <w:sz w:val="17"/>
              </w:rPr>
              <w:t>3 hari</w:t>
            </w:r>
          </w:p>
        </w:tc>
        <w:tc>
          <w:tcPr>
            <w:tcW w:type="dxa" w:w="2016"/>
            <w:vAlign w:val="center"/>
          </w:tcPr>
          <w:p>
            <w:r/>
            <w:r>
              <w:rPr>
                <w:rFonts w:ascii="Aptos" w:hAnsi="Aptos"/>
                <w:b w:val="0"/>
                <w:color w:val="1F1F1F"/>
                <w:sz w:val="17"/>
              </w:rPr>
              <w:t>E-commerce &amp; operasi</w:t>
            </w:r>
          </w:p>
        </w:tc>
        <w:tc>
          <w:tcPr>
            <w:tcW w:type="dxa" w:w="2016"/>
            <w:vAlign w:val="center"/>
          </w:tcPr>
          <w:p>
            <w:r/>
            <w:r>
              <w:rPr>
                <w:rFonts w:ascii="Aptos" w:hAnsi="Aptos"/>
                <w:b w:val="0"/>
                <w:color w:val="1F1F1F"/>
                <w:sz w:val="17"/>
              </w:rPr>
              <w:t>Database; product/service data; workflow; e-commerce; customer/order process; inventory/operational module</w:t>
            </w:r>
          </w:p>
        </w:tc>
        <w:tc>
          <w:tcPr>
            <w:tcW w:type="dxa" w:w="2016"/>
            <w:vAlign w:val="center"/>
          </w:tcPr>
          <w:p>
            <w:r/>
            <w:r>
              <w:rPr>
                <w:rFonts w:ascii="Aptos" w:hAnsi="Aptos"/>
                <w:b w:val="0"/>
                <w:color w:val="1F1F1F"/>
                <w:sz w:val="17"/>
              </w:rPr>
              <w:t>Working business workflow</w:t>
            </w:r>
          </w:p>
        </w:tc>
      </w:tr>
      <w:tr>
        <w:tc>
          <w:tcPr>
            <w:tcW w:type="dxa" w:w="2016"/>
            <w:vAlign w:val="center"/>
          </w:tcPr>
          <w:p>
            <w:r/>
            <w:r>
              <w:rPr>
                <w:rFonts w:ascii="Aptos" w:hAnsi="Aptos"/>
                <w:b w:val="0"/>
                <w:color w:val="1F1F1F"/>
                <w:sz w:val="17"/>
              </w:rPr>
              <w:t>Level 3</w:t>
              <w:br/>
              <w:t>AI Business Transformation</w:t>
            </w:r>
          </w:p>
        </w:tc>
        <w:tc>
          <w:tcPr>
            <w:tcW w:type="dxa" w:w="2016"/>
            <w:vAlign w:val="center"/>
          </w:tcPr>
          <w:p>
            <w:r/>
            <w:r>
              <w:rPr>
                <w:rFonts w:ascii="Aptos" w:hAnsi="Aptos"/>
                <w:b w:val="0"/>
                <w:color w:val="1F1F1F"/>
                <w:sz w:val="17"/>
              </w:rPr>
              <w:t>4 hari</w:t>
            </w:r>
          </w:p>
        </w:tc>
        <w:tc>
          <w:tcPr>
            <w:tcW w:type="dxa" w:w="2016"/>
            <w:vAlign w:val="center"/>
          </w:tcPr>
          <w:p>
            <w:r/>
            <w:r>
              <w:rPr>
                <w:rFonts w:ascii="Aptos" w:hAnsi="Aptos"/>
                <w:b w:val="0"/>
                <w:color w:val="1F1F1F"/>
                <w:sz w:val="17"/>
              </w:rPr>
              <w:t>Finance, automation &amp; Agentic AI</w:t>
            </w:r>
          </w:p>
        </w:tc>
        <w:tc>
          <w:tcPr>
            <w:tcW w:type="dxa" w:w="2016"/>
            <w:vAlign w:val="center"/>
          </w:tcPr>
          <w:p>
            <w:r/>
            <w:r>
              <w:rPr>
                <w:rFonts w:ascii="Aptos" w:hAnsi="Aptos"/>
                <w:b w:val="0"/>
                <w:color w:val="1F1F1F"/>
                <w:sz w:val="17"/>
              </w:rPr>
              <w:t>Bank-data workflow; management reporting; automation; custom module; AI agent use case; testing &amp; deployment</w:t>
            </w:r>
          </w:p>
        </w:tc>
        <w:tc>
          <w:tcPr>
            <w:tcW w:type="dxa" w:w="2016"/>
            <w:vAlign w:val="center"/>
          </w:tcPr>
          <w:p>
            <w:r/>
            <w:r>
              <w:rPr>
                <w:rFonts w:ascii="Aptos" w:hAnsi="Aptos"/>
                <w:b w:val="0"/>
                <w:color w:val="1F1F1F"/>
                <w:sz w:val="17"/>
              </w:rPr>
              <w:t>AI-ready business + selected automation/agent</w:t>
            </w:r>
          </w:p>
        </w:tc>
      </w:tr>
    </w:tbl>
    <w:p>
      <w:pPr>
        <w:pStyle w:val="Heading1"/>
      </w:pPr>
      <w:r>
        <w:t>5. Cadangan Itinerary</w:t>
      </w:r>
    </w:p>
    <w:tbl>
      <w:tblPr>
        <w:tblStyle w:val="TableGrid"/>
        <w:tblW w:type="auto" w:w="0"/>
        <w:jc w:val="center"/>
        <w:tblLook w:firstColumn="1" w:firstRow="1" w:lastColumn="0" w:lastRow="0" w:noHBand="0" w:noVBand="1" w:val="04A0"/>
      </w:tblPr>
      <w:tblGrid>
        <w:gridCol w:w="3360"/>
        <w:gridCol w:w="3360"/>
        <w:gridCol w:w="3360"/>
      </w:tblGrid>
      <w:tr>
        <w:tc>
          <w:tcPr>
            <w:tcW w:type="dxa" w:w="3360"/>
            <w:vAlign w:val="center"/>
            <w:shd w:fill="1F4E79"/>
          </w:tcPr>
          <w:p>
            <w:r/>
            <w:r>
              <w:rPr>
                <w:rFonts w:ascii="Aptos" w:hAnsi="Aptos"/>
                <w:b/>
                <w:color w:val="FFFFFF"/>
                <w:sz w:val="18"/>
              </w:rPr>
              <w:t>Hari</w:t>
            </w:r>
          </w:p>
        </w:tc>
        <w:tc>
          <w:tcPr>
            <w:tcW w:type="dxa" w:w="3360"/>
            <w:vAlign w:val="center"/>
            <w:shd w:fill="1F4E79"/>
          </w:tcPr>
          <w:p>
            <w:r/>
            <w:r>
              <w:rPr>
                <w:rFonts w:ascii="Aptos" w:hAnsi="Aptos"/>
                <w:b/>
                <w:color w:val="FFFFFF"/>
                <w:sz w:val="18"/>
              </w:rPr>
              <w:t>Fokus</w:t>
            </w:r>
          </w:p>
        </w:tc>
        <w:tc>
          <w:tcPr>
            <w:tcW w:type="dxa" w:w="3360"/>
            <w:vAlign w:val="center"/>
            <w:shd w:fill="1F4E79"/>
          </w:tcPr>
          <w:p>
            <w:r/>
            <w:r>
              <w:rPr>
                <w:rFonts w:ascii="Aptos" w:hAnsi="Aptos"/>
                <w:b/>
                <w:color w:val="FFFFFF"/>
                <w:sz w:val="18"/>
              </w:rPr>
              <w:t>Deliverable</w:t>
            </w:r>
          </w:p>
        </w:tc>
      </w:tr>
      <w:tr>
        <w:tc>
          <w:tcPr>
            <w:tcW w:type="dxa" w:w="3360"/>
            <w:vAlign w:val="center"/>
          </w:tcPr>
          <w:p>
            <w:r/>
            <w:r>
              <w:rPr>
                <w:rFonts w:ascii="Aptos" w:hAnsi="Aptos"/>
                <w:b w:val="0"/>
                <w:color w:val="1F1F1F"/>
                <w:sz w:val="17"/>
              </w:rPr>
              <w:t>Hari 1</w:t>
            </w:r>
          </w:p>
        </w:tc>
        <w:tc>
          <w:tcPr>
            <w:tcW w:type="dxa" w:w="3360"/>
            <w:vAlign w:val="center"/>
          </w:tcPr>
          <w:p>
            <w:r/>
            <w:r>
              <w:rPr>
                <w:rFonts w:ascii="Aptos" w:hAnsi="Aptos"/>
                <w:b w:val="0"/>
                <w:color w:val="1F1F1F"/>
                <w:sz w:val="17"/>
              </w:rPr>
              <w:t>Business digital audit, objektif, website architecture, SEO &amp; security</w:t>
            </w:r>
          </w:p>
        </w:tc>
        <w:tc>
          <w:tcPr>
            <w:tcW w:type="dxa" w:w="3360"/>
            <w:vAlign w:val="center"/>
          </w:tcPr>
          <w:p>
            <w:r/>
            <w:r>
              <w:rPr>
                <w:rFonts w:ascii="Aptos" w:hAnsi="Aptos"/>
                <w:b w:val="0"/>
                <w:color w:val="1F1F1F"/>
                <w:sz w:val="17"/>
              </w:rPr>
              <w:t>Pelan digital setiap SME</w:t>
            </w:r>
          </w:p>
        </w:tc>
      </w:tr>
      <w:tr>
        <w:tc>
          <w:tcPr>
            <w:tcW w:type="dxa" w:w="3360"/>
            <w:vAlign w:val="center"/>
          </w:tcPr>
          <w:p>
            <w:r/>
            <w:r>
              <w:rPr>
                <w:rFonts w:ascii="Aptos" w:hAnsi="Aptos"/>
                <w:b w:val="0"/>
                <w:color w:val="1F1F1F"/>
                <w:sz w:val="17"/>
              </w:rPr>
              <w:t>Hari 2</w:t>
            </w:r>
          </w:p>
        </w:tc>
        <w:tc>
          <w:tcPr>
            <w:tcW w:type="dxa" w:w="3360"/>
            <w:vAlign w:val="center"/>
          </w:tcPr>
          <w:p>
            <w:r/>
            <w:r>
              <w:rPr>
                <w:rFonts w:ascii="Aptos" w:hAnsi="Aptos"/>
                <w:b w:val="0"/>
                <w:color w:val="1F1F1F"/>
                <w:sz w:val="17"/>
              </w:rPr>
              <w:t>Website/content/product-service structure &amp; dashboard asas</w:t>
            </w:r>
          </w:p>
        </w:tc>
        <w:tc>
          <w:tcPr>
            <w:tcW w:type="dxa" w:w="3360"/>
            <w:vAlign w:val="center"/>
          </w:tcPr>
          <w:p>
            <w:r/>
            <w:r>
              <w:rPr>
                <w:rFonts w:ascii="Aptos" w:hAnsi="Aptos"/>
                <w:b w:val="0"/>
                <w:color w:val="1F1F1F"/>
                <w:sz w:val="17"/>
              </w:rPr>
              <w:t>Website/dashboard prototype</w:t>
            </w:r>
          </w:p>
        </w:tc>
      </w:tr>
      <w:tr>
        <w:tc>
          <w:tcPr>
            <w:tcW w:type="dxa" w:w="3360"/>
            <w:vAlign w:val="center"/>
          </w:tcPr>
          <w:p>
            <w:r/>
            <w:r>
              <w:rPr>
                <w:rFonts w:ascii="Aptos" w:hAnsi="Aptos"/>
                <w:b w:val="0"/>
                <w:color w:val="1F1F1F"/>
                <w:sz w:val="17"/>
              </w:rPr>
              <w:t>Hari 3</w:t>
            </w:r>
          </w:p>
        </w:tc>
        <w:tc>
          <w:tcPr>
            <w:tcW w:type="dxa" w:w="3360"/>
            <w:vAlign w:val="center"/>
          </w:tcPr>
          <w:p>
            <w:r/>
            <w:r>
              <w:rPr>
                <w:rFonts w:ascii="Aptos" w:hAnsi="Aptos"/>
                <w:b w:val="0"/>
                <w:color w:val="1F1F1F"/>
                <w:sz w:val="17"/>
              </w:rPr>
              <w:t>Deployment, basic analytics, testing &amp; digital operating SOP</w:t>
            </w:r>
          </w:p>
        </w:tc>
        <w:tc>
          <w:tcPr>
            <w:tcW w:type="dxa" w:w="3360"/>
            <w:vAlign w:val="center"/>
          </w:tcPr>
          <w:p>
            <w:r/>
            <w:r>
              <w:rPr>
                <w:rFonts w:ascii="Aptos" w:hAnsi="Aptos"/>
                <w:b w:val="0"/>
                <w:color w:val="1F1F1F"/>
                <w:sz w:val="17"/>
              </w:rPr>
              <w:t>Digital foundation live/ready</w:t>
            </w:r>
          </w:p>
        </w:tc>
      </w:tr>
      <w:tr>
        <w:tc>
          <w:tcPr>
            <w:tcW w:type="dxa" w:w="3360"/>
            <w:vAlign w:val="center"/>
          </w:tcPr>
          <w:p>
            <w:r/>
            <w:r>
              <w:rPr>
                <w:rFonts w:ascii="Aptos" w:hAnsi="Aptos"/>
                <w:b w:val="0"/>
                <w:color w:val="1F1F1F"/>
                <w:sz w:val="17"/>
              </w:rPr>
              <w:t>Hari 4</w:t>
            </w:r>
          </w:p>
        </w:tc>
        <w:tc>
          <w:tcPr>
            <w:tcW w:type="dxa" w:w="3360"/>
            <w:vAlign w:val="center"/>
          </w:tcPr>
          <w:p>
            <w:r/>
            <w:r>
              <w:rPr>
                <w:rFonts w:ascii="Aptos" w:hAnsi="Aptos"/>
                <w:b w:val="0"/>
                <w:color w:val="1F1F1F"/>
                <w:sz w:val="17"/>
              </w:rPr>
              <w:t>E-commerce/business database &amp; customer/order workflow</w:t>
            </w:r>
          </w:p>
        </w:tc>
        <w:tc>
          <w:tcPr>
            <w:tcW w:type="dxa" w:w="3360"/>
            <w:vAlign w:val="center"/>
          </w:tcPr>
          <w:p>
            <w:r/>
            <w:r>
              <w:rPr>
                <w:rFonts w:ascii="Aptos" w:hAnsi="Aptos"/>
                <w:b w:val="0"/>
                <w:color w:val="1F1F1F"/>
                <w:sz w:val="17"/>
              </w:rPr>
              <w:t>Core data structure</w:t>
            </w:r>
          </w:p>
        </w:tc>
      </w:tr>
      <w:tr>
        <w:tc>
          <w:tcPr>
            <w:tcW w:type="dxa" w:w="3360"/>
            <w:vAlign w:val="center"/>
          </w:tcPr>
          <w:p>
            <w:r/>
            <w:r>
              <w:rPr>
                <w:rFonts w:ascii="Aptos" w:hAnsi="Aptos"/>
                <w:b w:val="0"/>
                <w:color w:val="1F1F1F"/>
                <w:sz w:val="17"/>
              </w:rPr>
              <w:t>Hari 5</w:t>
            </w:r>
          </w:p>
        </w:tc>
        <w:tc>
          <w:tcPr>
            <w:tcW w:type="dxa" w:w="3360"/>
            <w:vAlign w:val="center"/>
          </w:tcPr>
          <w:p>
            <w:r/>
            <w:r>
              <w:rPr>
                <w:rFonts w:ascii="Aptos" w:hAnsi="Aptos"/>
                <w:b w:val="0"/>
                <w:color w:val="1F1F1F"/>
                <w:sz w:val="17"/>
              </w:rPr>
              <w:t>Inventory/operations/workflow automation</w:t>
            </w:r>
          </w:p>
        </w:tc>
        <w:tc>
          <w:tcPr>
            <w:tcW w:type="dxa" w:w="3360"/>
            <w:vAlign w:val="center"/>
          </w:tcPr>
          <w:p>
            <w:r/>
            <w:r>
              <w:rPr>
                <w:rFonts w:ascii="Aptos" w:hAnsi="Aptos"/>
                <w:b w:val="0"/>
                <w:color w:val="1F1F1F"/>
                <w:sz w:val="17"/>
              </w:rPr>
              <w:t>Operational module</w:t>
            </w:r>
          </w:p>
        </w:tc>
      </w:tr>
      <w:tr>
        <w:tc>
          <w:tcPr>
            <w:tcW w:type="dxa" w:w="3360"/>
            <w:vAlign w:val="center"/>
          </w:tcPr>
          <w:p>
            <w:r/>
            <w:r>
              <w:rPr>
                <w:rFonts w:ascii="Aptos" w:hAnsi="Aptos"/>
                <w:b w:val="0"/>
                <w:color w:val="1F1F1F"/>
                <w:sz w:val="17"/>
              </w:rPr>
              <w:t>Hari 6</w:t>
            </w:r>
          </w:p>
        </w:tc>
        <w:tc>
          <w:tcPr>
            <w:tcW w:type="dxa" w:w="3360"/>
            <w:vAlign w:val="center"/>
          </w:tcPr>
          <w:p>
            <w:r/>
            <w:r>
              <w:rPr>
                <w:rFonts w:ascii="Aptos" w:hAnsi="Aptos"/>
                <w:b w:val="0"/>
                <w:color w:val="1F1F1F"/>
                <w:sz w:val="17"/>
              </w:rPr>
              <w:t>Integration, testing, reporting &amp; process improvement</w:t>
            </w:r>
          </w:p>
        </w:tc>
        <w:tc>
          <w:tcPr>
            <w:tcW w:type="dxa" w:w="3360"/>
            <w:vAlign w:val="center"/>
          </w:tcPr>
          <w:p>
            <w:r/>
            <w:r>
              <w:rPr>
                <w:rFonts w:ascii="Aptos" w:hAnsi="Aptos"/>
                <w:b w:val="0"/>
                <w:color w:val="1F1F1F"/>
                <w:sz w:val="17"/>
              </w:rPr>
              <w:t>Business system working version</w:t>
            </w:r>
          </w:p>
        </w:tc>
      </w:tr>
      <w:tr>
        <w:tc>
          <w:tcPr>
            <w:tcW w:type="dxa" w:w="3360"/>
            <w:vAlign w:val="center"/>
          </w:tcPr>
          <w:p>
            <w:r/>
            <w:r>
              <w:rPr>
                <w:rFonts w:ascii="Aptos" w:hAnsi="Aptos"/>
                <w:b w:val="0"/>
                <w:color w:val="1F1F1F"/>
                <w:sz w:val="17"/>
              </w:rPr>
              <w:t>Hari 7</w:t>
            </w:r>
          </w:p>
        </w:tc>
        <w:tc>
          <w:tcPr>
            <w:tcW w:type="dxa" w:w="3360"/>
            <w:vAlign w:val="center"/>
          </w:tcPr>
          <w:p>
            <w:r/>
            <w:r>
              <w:rPr>
                <w:rFonts w:ascii="Aptos" w:hAnsi="Aptos"/>
                <w:b w:val="0"/>
                <w:color w:val="1F1F1F"/>
                <w:sz w:val="17"/>
              </w:rPr>
              <w:t>Bank-data preparation, transaction structure &amp; finance workflow</w:t>
            </w:r>
          </w:p>
        </w:tc>
        <w:tc>
          <w:tcPr>
            <w:tcW w:type="dxa" w:w="3360"/>
            <w:vAlign w:val="center"/>
          </w:tcPr>
          <w:p>
            <w:r/>
            <w:r>
              <w:rPr>
                <w:rFonts w:ascii="Aptos" w:hAnsi="Aptos"/>
                <w:b w:val="0"/>
                <w:color w:val="1F1F1F"/>
                <w:sz w:val="17"/>
              </w:rPr>
              <w:t>Structured financial data workflow</w:t>
            </w:r>
          </w:p>
        </w:tc>
      </w:tr>
      <w:tr>
        <w:tc>
          <w:tcPr>
            <w:tcW w:type="dxa" w:w="3360"/>
            <w:vAlign w:val="center"/>
          </w:tcPr>
          <w:p>
            <w:r/>
            <w:r>
              <w:rPr>
                <w:rFonts w:ascii="Aptos" w:hAnsi="Aptos"/>
                <w:b w:val="0"/>
                <w:color w:val="1F1F1F"/>
                <w:sz w:val="17"/>
              </w:rPr>
              <w:t>Hari 8</w:t>
            </w:r>
          </w:p>
        </w:tc>
        <w:tc>
          <w:tcPr>
            <w:tcW w:type="dxa" w:w="3360"/>
            <w:vAlign w:val="center"/>
          </w:tcPr>
          <w:p>
            <w:r/>
            <w:r>
              <w:rPr>
                <w:rFonts w:ascii="Aptos" w:hAnsi="Aptos"/>
                <w:b w:val="0"/>
                <w:color w:val="1F1F1F"/>
                <w:sz w:val="17"/>
              </w:rPr>
              <w:t>Management reporting, cash-flow visibility &amp; business dashboard</w:t>
            </w:r>
          </w:p>
        </w:tc>
        <w:tc>
          <w:tcPr>
            <w:tcW w:type="dxa" w:w="3360"/>
            <w:vAlign w:val="center"/>
          </w:tcPr>
          <w:p>
            <w:r/>
            <w:r>
              <w:rPr>
                <w:rFonts w:ascii="Aptos" w:hAnsi="Aptos"/>
                <w:b w:val="0"/>
                <w:color w:val="1F1F1F"/>
                <w:sz w:val="17"/>
              </w:rPr>
              <w:t>Financial/management dashboard</w:t>
            </w:r>
          </w:p>
        </w:tc>
      </w:tr>
      <w:tr>
        <w:tc>
          <w:tcPr>
            <w:tcW w:type="dxa" w:w="3360"/>
            <w:vAlign w:val="center"/>
          </w:tcPr>
          <w:p>
            <w:r/>
            <w:r>
              <w:rPr>
                <w:rFonts w:ascii="Aptos" w:hAnsi="Aptos"/>
                <w:b w:val="0"/>
                <w:color w:val="1F1F1F"/>
                <w:sz w:val="17"/>
              </w:rPr>
              <w:t>Hari 9</w:t>
            </w:r>
          </w:p>
        </w:tc>
        <w:tc>
          <w:tcPr>
            <w:tcW w:type="dxa" w:w="3360"/>
            <w:vAlign w:val="center"/>
          </w:tcPr>
          <w:p>
            <w:r/>
            <w:r>
              <w:rPr>
                <w:rFonts w:ascii="Aptos" w:hAnsi="Aptos"/>
                <w:b w:val="0"/>
                <w:color w:val="1F1F1F"/>
                <w:sz w:val="17"/>
              </w:rPr>
              <w:t>AI automation, specialised agent concept &amp; selected use case</w:t>
            </w:r>
          </w:p>
        </w:tc>
        <w:tc>
          <w:tcPr>
            <w:tcW w:type="dxa" w:w="3360"/>
            <w:vAlign w:val="center"/>
          </w:tcPr>
          <w:p>
            <w:r/>
            <w:r>
              <w:rPr>
                <w:rFonts w:ascii="Aptos" w:hAnsi="Aptos"/>
                <w:b w:val="0"/>
                <w:color w:val="1F1F1F"/>
                <w:sz w:val="17"/>
              </w:rPr>
              <w:t>AI/automation prototype</w:t>
            </w:r>
          </w:p>
        </w:tc>
      </w:tr>
      <w:tr>
        <w:tc>
          <w:tcPr>
            <w:tcW w:type="dxa" w:w="3360"/>
            <w:vAlign w:val="center"/>
          </w:tcPr>
          <w:p>
            <w:r/>
            <w:r>
              <w:rPr>
                <w:rFonts w:ascii="Aptos" w:hAnsi="Aptos"/>
                <w:b w:val="0"/>
                <w:color w:val="1F1F1F"/>
                <w:sz w:val="17"/>
              </w:rPr>
              <w:t>Hari 10</w:t>
            </w:r>
          </w:p>
        </w:tc>
        <w:tc>
          <w:tcPr>
            <w:tcW w:type="dxa" w:w="3360"/>
            <w:vAlign w:val="center"/>
          </w:tcPr>
          <w:p>
            <w:r/>
            <w:r>
              <w:rPr>
                <w:rFonts w:ascii="Aptos" w:hAnsi="Aptos"/>
                <w:b w:val="0"/>
                <w:color w:val="1F1F1F"/>
                <w:sz w:val="17"/>
              </w:rPr>
              <w:t>Agent testing, governance, presentation, go-live plan &amp; assessment</w:t>
            </w:r>
          </w:p>
        </w:tc>
        <w:tc>
          <w:tcPr>
            <w:tcW w:type="dxa" w:w="3360"/>
            <w:vAlign w:val="center"/>
          </w:tcPr>
          <w:p>
            <w:r/>
            <w:r>
              <w:rPr>
                <w:rFonts w:ascii="Aptos" w:hAnsi="Aptos"/>
                <w:b w:val="0"/>
                <w:color w:val="1F1F1F"/>
                <w:sz w:val="17"/>
              </w:rPr>
              <w:t>Deployment plan + graduation review</w:t>
            </w:r>
          </w:p>
        </w:tc>
      </w:tr>
    </w:tbl>
    <w:p>
      <w:pPr>
        <w:pStyle w:val="SmallNote"/>
      </w:pPr>
      <w:r>
        <w:t>Pelaksanaan boleh dibuat 10 hari berturut-turut atau secara modular mengikut jadual DMDI. Untuk hasil yang lebih baik, AINNA mencadangkan sela masa tertentu antara tahap supaya peserta mempunyai masa mengumpul data, melaksanakan tugasan dan menguji sistem dalam operasi sebenar.</w:t>
      </w:r>
    </w:p>
    <w:p>
      <w:r>
        <w:br w:type="page"/>
      </w:r>
    </w:p>
    <w:p>
      <w:pPr>
        <w:pStyle w:val="Heading1"/>
      </w:pPr>
      <w:r>
        <w:t>6. Deliverable kepada Setiap SME</w:t>
      </w:r>
    </w:p>
    <w:p>
      <w:pPr>
        <w:pStyle w:val="ListBullet"/>
        <w:spacing w:after="60"/>
      </w:pPr>
      <w:r>
        <w:t>Digital/business readiness assessment dan transformation roadmap ringkas.</w:t>
      </w:r>
    </w:p>
    <w:p>
      <w:pPr>
        <w:pStyle w:val="ListBullet"/>
        <w:spacing w:after="60"/>
      </w:pPr>
      <w:r>
        <w:t>Website atau digital business presence mengikut skop cohort.</w:t>
      </w:r>
    </w:p>
    <w:p>
      <w:pPr>
        <w:pStyle w:val="ListBullet"/>
        <w:spacing w:after="60"/>
      </w:pPr>
      <w:r>
        <w:t>Asas SEO, security hygiene dan struktur kandungan.</w:t>
      </w:r>
    </w:p>
    <w:p>
      <w:pPr>
        <w:pStyle w:val="ListBullet"/>
        <w:spacing w:after="60"/>
      </w:pPr>
      <w:r>
        <w:t>Business dashboard asas.</w:t>
      </w:r>
    </w:p>
    <w:p>
      <w:pPr>
        <w:pStyle w:val="ListBullet"/>
        <w:spacing w:after="60"/>
      </w:pPr>
      <w:r>
        <w:t>E-commerce atau operational workflow mengikut kesesuaian perniagaan.</w:t>
      </w:r>
    </w:p>
    <w:p>
      <w:pPr>
        <w:pStyle w:val="ListBullet"/>
        <w:spacing w:after="60"/>
      </w:pPr>
      <w:r>
        <w:t>Database dan modul operasi terpilih seperti product, order, customer atau inventory.</w:t>
      </w:r>
    </w:p>
    <w:p>
      <w:pPr>
        <w:pStyle w:val="ListBullet"/>
        <w:spacing w:after="60"/>
      </w:pPr>
      <w:r>
        <w:t>Financial data workflow berasaskan rekod/bank data yang disediakan oleh peserta.</w:t>
      </w:r>
    </w:p>
    <w:p>
      <w:pPr>
        <w:pStyle w:val="ListBullet"/>
        <w:spacing w:after="60"/>
      </w:pPr>
      <w:r>
        <w:t>Management reporting/dashboard untuk visibility perniagaan.</w:t>
      </w:r>
    </w:p>
    <w:p>
      <w:pPr>
        <w:pStyle w:val="ListBullet"/>
        <w:spacing w:after="60"/>
      </w:pPr>
      <w:r>
        <w:t>Sekurang-kurangnya satu use case automasi atau AI yang sesuai dengan operasi peserta.</w:t>
      </w:r>
    </w:p>
    <w:p>
      <w:pPr>
        <w:pStyle w:val="ListBullet"/>
        <w:spacing w:after="60"/>
      </w:pPr>
      <w:r>
        <w:t>Go-live checklist, SOP ringkas dan pelan penambahbaikan selepas program.</w:t>
      </w:r>
    </w:p>
    <w:p>
      <w:r>
        <w:t>Deliverable sebenar setiap SME tertakluk kepada jenis perniagaan, tahap kesiapsiagaan data, akses kepada sistem sedia ada, masa pelaksanaan dan skop yang dipersetujui. Program tidak menjanjikan bahawa semua SME akan menerima modul yang sama.</w:t>
      </w:r>
    </w:p>
    <w:p>
      <w:pPr>
        <w:pStyle w:val="Heading1"/>
      </w:pPr>
      <w:r>
        <w:t>7. Agentic AI dalam Konteks SME</w:t>
      </w:r>
    </w:p>
    <w:p>
      <w:r>
        <w:t>Agentic AI diperkenalkan selepas proses dan data asas disusun. Pendekatan ini mengelakkan penggunaan AI sebagai chatbot terasing dan sebaliknya menjadikan AI sebagai lapisan kerja yang membantu tugas tertentu dengan access control, human approval dan audit trail.</w:t>
      </w:r>
    </w:p>
    <w:tbl>
      <w:tblPr>
        <w:tblStyle w:val="TableGrid"/>
        <w:tblW w:type="auto" w:w="0"/>
        <w:jc w:val="center"/>
        <w:tblLook w:firstColumn="1" w:firstRow="1" w:lastColumn="0" w:lastRow="0" w:noHBand="0" w:noVBand="1" w:val="04A0"/>
      </w:tblPr>
      <w:tblGrid>
        <w:gridCol w:w="3360"/>
        <w:gridCol w:w="3360"/>
        <w:gridCol w:w="3360"/>
      </w:tblGrid>
      <w:tr>
        <w:tc>
          <w:tcPr>
            <w:tcW w:type="dxa" w:w="3360"/>
            <w:vAlign w:val="center"/>
            <w:shd w:fill="17365D"/>
          </w:tcPr>
          <w:p>
            <w:r/>
            <w:r>
              <w:rPr>
                <w:rFonts w:ascii="Aptos" w:hAnsi="Aptos"/>
                <w:b/>
                <w:color w:val="FFFFFF"/>
                <w:sz w:val="18"/>
              </w:rPr>
              <w:t>Agent / Fungsi</w:t>
            </w:r>
          </w:p>
        </w:tc>
        <w:tc>
          <w:tcPr>
            <w:tcW w:type="dxa" w:w="3360"/>
            <w:vAlign w:val="center"/>
            <w:shd w:fill="17365D"/>
          </w:tcPr>
          <w:p>
            <w:r/>
            <w:r>
              <w:rPr>
                <w:rFonts w:ascii="Aptos" w:hAnsi="Aptos"/>
                <w:b/>
                <w:color w:val="FFFFFF"/>
                <w:sz w:val="18"/>
              </w:rPr>
              <w:t>Contoh Tugas</w:t>
            </w:r>
          </w:p>
        </w:tc>
        <w:tc>
          <w:tcPr>
            <w:tcW w:type="dxa" w:w="3360"/>
            <w:vAlign w:val="center"/>
            <w:shd w:fill="17365D"/>
          </w:tcPr>
          <w:p>
            <w:r/>
            <w:r>
              <w:rPr>
                <w:rFonts w:ascii="Aptos" w:hAnsi="Aptos"/>
                <w:b/>
                <w:color w:val="FFFFFF"/>
                <w:sz w:val="18"/>
              </w:rPr>
              <w:t>Prinsip Kawalan</w:t>
            </w:r>
          </w:p>
        </w:tc>
      </w:tr>
      <w:tr>
        <w:tc>
          <w:tcPr>
            <w:tcW w:type="dxa" w:w="3360"/>
            <w:vAlign w:val="center"/>
          </w:tcPr>
          <w:p>
            <w:r/>
            <w:r>
              <w:rPr>
                <w:rFonts w:ascii="Aptos" w:hAnsi="Aptos"/>
                <w:b w:val="0"/>
                <w:color w:val="1F1F1F"/>
                <w:sz w:val="17"/>
              </w:rPr>
              <w:t>Sales / CRM Agent</w:t>
            </w:r>
          </w:p>
        </w:tc>
        <w:tc>
          <w:tcPr>
            <w:tcW w:type="dxa" w:w="3360"/>
            <w:vAlign w:val="center"/>
          </w:tcPr>
          <w:p>
            <w:r/>
            <w:r>
              <w:rPr>
                <w:rFonts w:ascii="Aptos" w:hAnsi="Aptos"/>
                <w:b w:val="0"/>
                <w:color w:val="1F1F1F"/>
                <w:sz w:val="17"/>
              </w:rPr>
              <w:t>Ringkasan leads, follow-up queue, customer status</w:t>
            </w:r>
          </w:p>
        </w:tc>
        <w:tc>
          <w:tcPr>
            <w:tcW w:type="dxa" w:w="3360"/>
            <w:vAlign w:val="center"/>
          </w:tcPr>
          <w:p>
            <w:r/>
            <w:r>
              <w:rPr>
                <w:rFonts w:ascii="Aptos" w:hAnsi="Aptos"/>
                <w:b w:val="0"/>
                <w:color w:val="1F1F1F"/>
                <w:sz w:val="17"/>
              </w:rPr>
              <w:t>Tidak menghantar tindakan sensitif tanpa approval</w:t>
            </w:r>
          </w:p>
        </w:tc>
      </w:tr>
      <w:tr>
        <w:tc>
          <w:tcPr>
            <w:tcW w:type="dxa" w:w="3360"/>
            <w:vAlign w:val="center"/>
          </w:tcPr>
          <w:p>
            <w:r/>
            <w:r>
              <w:rPr>
                <w:rFonts w:ascii="Aptos" w:hAnsi="Aptos"/>
                <w:b w:val="0"/>
                <w:color w:val="1F1F1F"/>
                <w:sz w:val="17"/>
              </w:rPr>
              <w:t>Customer Service Agent</w:t>
            </w:r>
          </w:p>
        </w:tc>
        <w:tc>
          <w:tcPr>
            <w:tcW w:type="dxa" w:w="3360"/>
            <w:vAlign w:val="center"/>
          </w:tcPr>
          <w:p>
            <w:r/>
            <w:r>
              <w:rPr>
                <w:rFonts w:ascii="Aptos" w:hAnsi="Aptos"/>
                <w:b w:val="0"/>
                <w:color w:val="1F1F1F"/>
                <w:sz w:val="17"/>
              </w:rPr>
              <w:t>FAQ, order/service information, escalation</w:t>
            </w:r>
          </w:p>
        </w:tc>
        <w:tc>
          <w:tcPr>
            <w:tcW w:type="dxa" w:w="3360"/>
            <w:vAlign w:val="center"/>
          </w:tcPr>
          <w:p>
            <w:r/>
            <w:r>
              <w:rPr>
                <w:rFonts w:ascii="Aptos" w:hAnsi="Aptos"/>
                <w:b w:val="0"/>
                <w:color w:val="1F1F1F"/>
                <w:sz w:val="17"/>
              </w:rPr>
              <w:t>Knowledge base terhad kepada data dibenarkan</w:t>
            </w:r>
          </w:p>
        </w:tc>
      </w:tr>
      <w:tr>
        <w:tc>
          <w:tcPr>
            <w:tcW w:type="dxa" w:w="3360"/>
            <w:vAlign w:val="center"/>
          </w:tcPr>
          <w:p>
            <w:r/>
            <w:r>
              <w:rPr>
                <w:rFonts w:ascii="Aptos" w:hAnsi="Aptos"/>
                <w:b w:val="0"/>
                <w:color w:val="1F1F1F"/>
                <w:sz w:val="17"/>
              </w:rPr>
              <w:t>Inventory / Operations Agent</w:t>
            </w:r>
          </w:p>
        </w:tc>
        <w:tc>
          <w:tcPr>
            <w:tcW w:type="dxa" w:w="3360"/>
            <w:vAlign w:val="center"/>
          </w:tcPr>
          <w:p>
            <w:r/>
            <w:r>
              <w:rPr>
                <w:rFonts w:ascii="Aptos" w:hAnsi="Aptos"/>
                <w:b w:val="0"/>
                <w:color w:val="1F1F1F"/>
                <w:sz w:val="17"/>
              </w:rPr>
              <w:t>Stock alert, exception detection, task summary</w:t>
            </w:r>
          </w:p>
        </w:tc>
        <w:tc>
          <w:tcPr>
            <w:tcW w:type="dxa" w:w="3360"/>
            <w:vAlign w:val="center"/>
          </w:tcPr>
          <w:p>
            <w:r/>
            <w:r>
              <w:rPr>
                <w:rFonts w:ascii="Aptos" w:hAnsi="Aptos"/>
                <w:b w:val="0"/>
                <w:color w:val="1F1F1F"/>
                <w:sz w:val="17"/>
              </w:rPr>
              <w:t>Read/execute permission mengikut role</w:t>
            </w:r>
          </w:p>
        </w:tc>
      </w:tr>
      <w:tr>
        <w:tc>
          <w:tcPr>
            <w:tcW w:type="dxa" w:w="3360"/>
            <w:vAlign w:val="center"/>
          </w:tcPr>
          <w:p>
            <w:r/>
            <w:r>
              <w:rPr>
                <w:rFonts w:ascii="Aptos" w:hAnsi="Aptos"/>
                <w:b w:val="0"/>
                <w:color w:val="1F1F1F"/>
                <w:sz w:val="17"/>
              </w:rPr>
              <w:t>Finance / Management Agent</w:t>
            </w:r>
          </w:p>
        </w:tc>
        <w:tc>
          <w:tcPr>
            <w:tcW w:type="dxa" w:w="3360"/>
            <w:vAlign w:val="center"/>
          </w:tcPr>
          <w:p>
            <w:r/>
            <w:r>
              <w:rPr>
                <w:rFonts w:ascii="Aptos" w:hAnsi="Aptos"/>
                <w:b w:val="0"/>
                <w:color w:val="1F1F1F"/>
                <w:sz w:val="17"/>
              </w:rPr>
              <w:t>Classification assistance, management summary, exception flag</w:t>
            </w:r>
          </w:p>
        </w:tc>
        <w:tc>
          <w:tcPr>
            <w:tcW w:type="dxa" w:w="3360"/>
            <w:vAlign w:val="center"/>
          </w:tcPr>
          <w:p>
            <w:r/>
            <w:r>
              <w:rPr>
                <w:rFonts w:ascii="Aptos" w:hAnsi="Aptos"/>
                <w:b w:val="0"/>
                <w:color w:val="1F1F1F"/>
                <w:sz w:val="17"/>
              </w:rPr>
              <w:t>Bukan pengganti audit/professional judgement</w:t>
            </w:r>
          </w:p>
        </w:tc>
      </w:tr>
      <w:tr>
        <w:tc>
          <w:tcPr>
            <w:tcW w:type="dxa" w:w="3360"/>
            <w:vAlign w:val="center"/>
          </w:tcPr>
          <w:p>
            <w:r/>
            <w:r>
              <w:rPr>
                <w:rFonts w:ascii="Aptos" w:hAnsi="Aptos"/>
                <w:b w:val="0"/>
                <w:color w:val="1F1F1F"/>
                <w:sz w:val="17"/>
              </w:rPr>
              <w:t>Executive SME Agent</w:t>
            </w:r>
          </w:p>
        </w:tc>
        <w:tc>
          <w:tcPr>
            <w:tcW w:type="dxa" w:w="3360"/>
            <w:vAlign w:val="center"/>
          </w:tcPr>
          <w:p>
            <w:r/>
            <w:r>
              <w:rPr>
                <w:rFonts w:ascii="Aptos" w:hAnsi="Aptos"/>
                <w:b w:val="0"/>
                <w:color w:val="1F1F1F"/>
                <w:sz w:val="17"/>
              </w:rPr>
              <w:t>Ringkasan operasi dan KPI untuk pemilik</w:t>
            </w:r>
          </w:p>
        </w:tc>
        <w:tc>
          <w:tcPr>
            <w:tcW w:type="dxa" w:w="3360"/>
            <w:vAlign w:val="center"/>
          </w:tcPr>
          <w:p>
            <w:r/>
            <w:r>
              <w:rPr>
                <w:rFonts w:ascii="Aptos" w:hAnsi="Aptos"/>
                <w:b w:val="0"/>
                <w:color w:val="1F1F1F"/>
                <w:sz w:val="17"/>
              </w:rPr>
              <w:t>Menggunakan data SME sendiri dan authorised sources</w:t>
            </w:r>
          </w:p>
        </w:tc>
      </w:tr>
    </w:tbl>
    <w:p>
      <w:pPr>
        <w:pStyle w:val="Heading1"/>
      </w:pPr>
      <w:r>
        <w:t>8. AINNA NeuralOps sebagai Orchestration Layer</w:t>
      </w:r>
    </w:p>
    <w:p>
      <w:r>
        <w:t>AINNA NeuralOps dicadangkan sebagai lapisan orchestration yang menghubungkan specialised workflows, parsers, automation dan model AI berdasarkan keperluan. Prinsip reka bentuk ialah menggunakan AI pada tugas yang benar-benar memerlukannya, manakala tugas deterministik atau berstruktur kekal menggunakan sistem biasa. Ini membantu kawalan kos, auditability dan reliability.</w:t>
      </w:r>
    </w:p>
    <w:p>
      <w:pPr>
        <w:pStyle w:val="ListBullet"/>
        <w:spacing w:after="60"/>
      </w:pPr>
      <w:r>
        <w:t>Specialised routing mengikut jenis tugasan.</w:t>
      </w:r>
    </w:p>
    <w:p>
      <w:pPr>
        <w:pStyle w:val="ListBullet"/>
        <w:spacing w:after="60"/>
      </w:pPr>
      <w:r>
        <w:t>Detached / isolated workflow untuk mengurangkan coupling antara fungsi.</w:t>
      </w:r>
    </w:p>
    <w:p>
      <w:pPr>
        <w:pStyle w:val="ListBullet"/>
        <w:spacing w:after="60"/>
      </w:pPr>
      <w:r>
        <w:t>Human-in-the-loop untuk tindakan penting.</w:t>
      </w:r>
    </w:p>
    <w:p>
      <w:pPr>
        <w:pStyle w:val="ListBullet"/>
        <w:spacing w:after="60"/>
      </w:pPr>
      <w:r>
        <w:t>Role-based access dan pemisahan data SME.</w:t>
      </w:r>
    </w:p>
    <w:p>
      <w:pPr>
        <w:pStyle w:val="ListBullet"/>
        <w:spacing w:after="60"/>
      </w:pPr>
      <w:r>
        <w:t>Pilihan model AI boleh berubah mengikut kos, prestasi, keselamatan dan keperluan deployment.</w:t>
      </w:r>
    </w:p>
    <w:p>
      <w:pPr>
        <w:pStyle w:val="Heading1"/>
      </w:pPr>
      <w:r>
        <w:t>9. Transformasi DMDI — SME Command Centre</w:t>
      </w:r>
    </w:p>
    <w:p>
      <w:r>
        <w:t>Selain membangunkan peserta, AINNA mencadangkan satu lapisan pengurusan program untuk DMDI. Tujuannya bukan mengambil alih sistem korporat DMDI, tetapi memberi management visibility terhadap SME yang menyertai program.</w:t>
      </w:r>
    </w:p>
    <w:p>
      <w:pPr>
        <w:pStyle w:val="ListBullet"/>
        <w:spacing w:after="60"/>
      </w:pPr>
      <w:r>
        <w:t>Profil SME dan status onboarding.</w:t>
      </w:r>
    </w:p>
    <w:p>
      <w:pPr>
        <w:pStyle w:val="ListBullet"/>
        <w:spacing w:after="60"/>
      </w:pPr>
      <w:r>
        <w:t>Progress setiap tahap dan completion rate.</w:t>
      </w:r>
    </w:p>
    <w:p>
      <w:pPr>
        <w:pStyle w:val="ListBullet"/>
        <w:spacing w:after="60"/>
      </w:pPr>
      <w:r>
        <w:t>Status deployment website/system/automation.</w:t>
      </w:r>
    </w:p>
    <w:p>
      <w:pPr>
        <w:pStyle w:val="ListBullet"/>
        <w:spacing w:after="60"/>
      </w:pPr>
      <w:r>
        <w:t>Digital readiness dan isu yang memerlukan intervensi.</w:t>
      </w:r>
    </w:p>
    <w:p>
      <w:pPr>
        <w:pStyle w:val="ListBullet"/>
        <w:spacing w:after="60"/>
      </w:pPr>
      <w:r>
        <w:t>KPI program dan outcome mengikut cohort.</w:t>
      </w:r>
    </w:p>
    <w:p>
      <w:pPr>
        <w:pStyle w:val="ListBullet"/>
        <w:spacing w:after="60"/>
      </w:pPr>
      <w:r>
        <w:t>Document/report repository untuk programme management.</w:t>
      </w:r>
    </w:p>
    <w:p>
      <w:pPr>
        <w:pStyle w:val="ListBullet"/>
        <w:spacing w:after="60"/>
      </w:pPr>
      <w:r>
        <w:t>Management summary yang boleh dijana mengikut data dibenarkan.</w:t>
      </w:r>
    </w:p>
    <w:p>
      <w:pPr>
        <w:pStyle w:val="Heading1"/>
      </w:pPr>
      <w:r>
        <w:t>10. DMDI Executive AI Agent</w:t>
      </w:r>
    </w:p>
    <w:p>
      <w:r>
        <w:t>Selepas Command Centre mempunyai data yang mencukupi, Executive AI Agent boleh digunakan untuk pertanyaan pengurusan seperti:</w:t>
      </w:r>
    </w:p>
    <w:p>
      <w:pPr>
        <w:ind w:left="504"/>
      </w:pPr>
      <w:r>
        <w:rPr>
          <w:i/>
          <w:color w:val="1F4E79"/>
        </w:rPr>
        <w:t>“Berapa SME telah melengkapkan Level 2?”</w:t>
      </w:r>
    </w:p>
    <w:p>
      <w:pPr>
        <w:ind w:left="504"/>
      </w:pPr>
      <w:r>
        <w:rPr>
          <w:i/>
          <w:color w:val="1F4E79"/>
        </w:rPr>
        <w:t>“Senaraikan isu utama yang menghalang deployment cohort ini.”</w:t>
      </w:r>
    </w:p>
    <w:p>
      <w:pPr>
        <w:ind w:left="504"/>
      </w:pPr>
      <w:r>
        <w:rPr>
          <w:i/>
          <w:color w:val="1F4E79"/>
        </w:rPr>
        <w:t>“Sediakan ringkasan kemajuan untuk mesyuarat pengurusan.”</w:t>
      </w:r>
    </w:p>
    <w:p>
      <w:pPr>
        <w:ind w:left="504"/>
      </w:pPr>
      <w:r>
        <w:rPr>
          <w:i/>
          <w:color w:val="1F4E79"/>
        </w:rPr>
        <w:t>“SME mana memerlukan intervensi dan apakah sebab yang direkodkan?”</w:t>
      </w:r>
    </w:p>
    <w:p>
      <w:r>
        <w:br w:type="page"/>
      </w:r>
    </w:p>
    <w:p>
      <w:pPr>
        <w:pStyle w:val="Heading1"/>
      </w:pPr>
      <w:r>
        <w:t>11. Seni Bina Konseptual</w:t>
      </w:r>
    </w:p>
    <w:tbl>
      <w:tblPr>
        <w:tblStyle w:val="TableGrid"/>
        <w:tblW w:type="auto" w:w="0"/>
        <w:jc w:val="center"/>
        <w:tblLook w:firstColumn="1" w:firstRow="1" w:lastColumn="0" w:lastRow="0" w:noHBand="0" w:noVBand="1" w:val="04A0"/>
      </w:tblPr>
      <w:tblGrid>
        <w:gridCol w:w="10080"/>
      </w:tblGrid>
      <w:tr>
        <w:tc>
          <w:tcPr>
            <w:tcW w:type="dxa" w:w="10080"/>
            <w:vAlign w:val="center"/>
            <w:shd w:fill="17365D"/>
          </w:tcPr>
          <w:p>
            <w:pPr>
              <w:jc w:val="center"/>
            </w:pPr>
            <w:r/>
            <w:r>
              <w:rPr>
                <w:rFonts w:ascii="Aptos" w:hAnsi="Aptos"/>
                <w:b/>
                <w:color w:val="FFFFFF"/>
                <w:sz w:val="20"/>
              </w:rPr>
              <w:t>DMDI LEADERSHIP</w:t>
            </w:r>
          </w:p>
        </w:tc>
      </w:tr>
      <w:tr>
        <w:tc>
          <w:tcPr>
            <w:tcW w:type="dxa" w:w="10080"/>
            <w:vAlign w:val="center"/>
            <w:shd w:fill="FFFFFF"/>
          </w:tcPr>
          <w:p>
            <w:pPr>
              <w:jc w:val="center"/>
            </w:pPr>
            <w:r/>
            <w:r>
              <w:rPr>
                <w:rFonts w:ascii="Aptos" w:hAnsi="Aptos"/>
                <w:b/>
                <w:color w:val="C00000"/>
                <w:sz w:val="28"/>
              </w:rPr>
              <w:t>↓</w:t>
            </w:r>
          </w:p>
        </w:tc>
      </w:tr>
      <w:tr>
        <w:tc>
          <w:tcPr>
            <w:tcW w:type="dxa" w:w="10080"/>
            <w:vAlign w:val="center"/>
            <w:shd w:fill="1F4E79"/>
          </w:tcPr>
          <w:p>
            <w:pPr>
              <w:jc w:val="center"/>
            </w:pPr>
            <w:r/>
            <w:r>
              <w:rPr>
                <w:rFonts w:ascii="Aptos" w:hAnsi="Aptos"/>
                <w:b/>
                <w:color w:val="FFFFFF"/>
                <w:sz w:val="20"/>
              </w:rPr>
              <w:t>DMDI SME COMMAND CENTRE + EXECUTIVE AI AGENT</w:t>
            </w:r>
          </w:p>
        </w:tc>
      </w:tr>
      <w:tr>
        <w:tc>
          <w:tcPr>
            <w:tcW w:type="dxa" w:w="10080"/>
            <w:vAlign w:val="center"/>
            <w:shd w:fill="FFFFFF"/>
          </w:tcPr>
          <w:p>
            <w:pPr>
              <w:jc w:val="center"/>
            </w:pPr>
            <w:r/>
            <w:r>
              <w:rPr>
                <w:rFonts w:ascii="Aptos" w:hAnsi="Aptos"/>
                <w:b/>
                <w:color w:val="C00000"/>
                <w:sz w:val="28"/>
              </w:rPr>
              <w:t>↓</w:t>
            </w:r>
          </w:p>
        </w:tc>
      </w:tr>
      <w:tr>
        <w:tc>
          <w:tcPr>
            <w:tcW w:type="dxa" w:w="10080"/>
            <w:vAlign w:val="center"/>
            <w:shd w:fill="17365D"/>
          </w:tcPr>
          <w:p>
            <w:pPr>
              <w:jc w:val="center"/>
            </w:pPr>
            <w:r/>
            <w:r>
              <w:rPr>
                <w:rFonts w:ascii="Aptos" w:hAnsi="Aptos"/>
                <w:b/>
                <w:color w:val="FFFFFF"/>
                <w:sz w:val="20"/>
              </w:rPr>
              <w:t>AINNA NEURALOPS / ORCHESTRATION</w:t>
            </w:r>
          </w:p>
        </w:tc>
      </w:tr>
      <w:tr>
        <w:tc>
          <w:tcPr>
            <w:tcW w:type="dxa" w:w="10080"/>
            <w:vAlign w:val="center"/>
            <w:shd w:fill="FFFFFF"/>
          </w:tcPr>
          <w:p>
            <w:pPr>
              <w:jc w:val="center"/>
            </w:pPr>
            <w:r/>
            <w:r>
              <w:rPr>
                <w:rFonts w:ascii="Aptos" w:hAnsi="Aptos"/>
                <w:b/>
                <w:color w:val="C00000"/>
                <w:sz w:val="28"/>
              </w:rPr>
              <w:t>↓</w:t>
            </w:r>
          </w:p>
        </w:tc>
      </w:tr>
      <w:tr>
        <w:tc>
          <w:tcPr>
            <w:tcW w:type="dxa" w:w="10080"/>
            <w:vAlign w:val="center"/>
            <w:shd w:fill="1F4E79"/>
          </w:tcPr>
          <w:p>
            <w:pPr>
              <w:jc w:val="center"/>
            </w:pPr>
            <w:r/>
            <w:r>
              <w:rPr>
                <w:rFonts w:ascii="Aptos" w:hAnsi="Aptos"/>
                <w:b/>
                <w:color w:val="FFFFFF"/>
                <w:sz w:val="20"/>
              </w:rPr>
              <w:t>ISOLATED SME DIGITAL INFRASTRUCTURE</w:t>
            </w:r>
          </w:p>
        </w:tc>
      </w:tr>
      <w:tr>
        <w:tc>
          <w:tcPr>
            <w:tcW w:type="dxa" w:w="10080"/>
            <w:vAlign w:val="center"/>
            <w:shd w:fill="FFFFFF"/>
          </w:tcPr>
          <w:p>
            <w:pPr>
              <w:jc w:val="center"/>
            </w:pPr>
            <w:r/>
            <w:r>
              <w:rPr>
                <w:rFonts w:ascii="Aptos" w:hAnsi="Aptos"/>
                <w:b/>
                <w:color w:val="C00000"/>
                <w:sz w:val="28"/>
              </w:rPr>
              <w:t>↓</w:t>
            </w:r>
          </w:p>
        </w:tc>
      </w:tr>
      <w:tr>
        <w:tc>
          <w:tcPr>
            <w:tcW w:type="dxa" w:w="10080"/>
            <w:vAlign w:val="center"/>
            <w:shd w:fill="EAF0F6"/>
          </w:tcPr>
          <w:p>
            <w:pPr>
              <w:jc w:val="center"/>
            </w:pPr>
            <w:r/>
            <w:r>
              <w:rPr>
                <w:rFonts w:ascii="Aptos" w:hAnsi="Aptos"/>
                <w:b/>
                <w:color w:val="1F1F1F"/>
                <w:sz w:val="20"/>
              </w:rPr>
              <w:t>Website  |  E-Commerce  |  Operations  |  Finance  |  CRM  |  Inventory  |  AI Agents</w:t>
            </w:r>
          </w:p>
        </w:tc>
      </w:tr>
    </w:tbl>
    <w:p>
      <w:pPr>
        <w:pStyle w:val="Heading1"/>
      </w:pPr>
      <w:r>
        <w:t>12. Model Pilot yang Dicadangkan</w:t>
      </w:r>
    </w:p>
    <w:tbl>
      <w:tblPr>
        <w:tblStyle w:val="TableGrid"/>
        <w:tblW w:type="auto" w:w="0"/>
        <w:jc w:val="center"/>
        <w:tblLook w:firstColumn="1" w:firstRow="1" w:lastColumn="0" w:lastRow="0" w:noHBand="0" w:noVBand="1" w:val="04A0"/>
      </w:tblPr>
      <w:tblGrid>
        <w:gridCol w:w="5040"/>
        <w:gridCol w:w="5040"/>
      </w:tblGrid>
      <w:tr>
        <w:tc>
          <w:tcPr>
            <w:tcW w:type="dxa" w:w="5040"/>
            <w:vAlign w:val="center"/>
            <w:shd w:fill="17365D"/>
          </w:tcPr>
          <w:p>
            <w:r/>
            <w:r>
              <w:rPr>
                <w:rFonts w:ascii="Aptos" w:hAnsi="Aptos"/>
                <w:b/>
                <w:color w:val="FFFFFF"/>
                <w:sz w:val="18"/>
              </w:rPr>
              <w:t>Komponen</w:t>
            </w:r>
          </w:p>
        </w:tc>
        <w:tc>
          <w:tcPr>
            <w:tcW w:type="dxa" w:w="5040"/>
            <w:vAlign w:val="center"/>
            <w:shd w:fill="17365D"/>
          </w:tcPr>
          <w:p>
            <w:r/>
            <w:r>
              <w:rPr>
                <w:rFonts w:ascii="Aptos" w:hAnsi="Aptos"/>
                <w:b/>
                <w:color w:val="FFFFFF"/>
                <w:sz w:val="18"/>
              </w:rPr>
              <w:t>Cadangan Pilot</w:t>
            </w:r>
          </w:p>
        </w:tc>
      </w:tr>
      <w:tr>
        <w:tc>
          <w:tcPr>
            <w:tcW w:type="dxa" w:w="5040"/>
            <w:vAlign w:val="center"/>
          </w:tcPr>
          <w:p>
            <w:r/>
            <w:r>
              <w:rPr>
                <w:rFonts w:ascii="Aptos" w:hAnsi="Aptos"/>
                <w:b/>
                <w:color w:val="1F1F1F"/>
                <w:sz w:val="17"/>
              </w:rPr>
              <w:t>Peserta</w:t>
            </w:r>
          </w:p>
        </w:tc>
        <w:tc>
          <w:tcPr>
            <w:tcW w:type="dxa" w:w="5040"/>
            <w:vAlign w:val="center"/>
          </w:tcPr>
          <w:p>
            <w:r/>
            <w:r>
              <w:rPr>
                <w:rFonts w:ascii="Aptos" w:hAnsi="Aptos"/>
                <w:b w:val="0"/>
                <w:color w:val="1F1F1F"/>
                <w:sz w:val="17"/>
              </w:rPr>
              <w:t>Minimum 10 SME; maksimum 20 SME bagi satu cohort</w:t>
            </w:r>
          </w:p>
        </w:tc>
      </w:tr>
      <w:tr>
        <w:tc>
          <w:tcPr>
            <w:tcW w:type="dxa" w:w="5040"/>
            <w:vAlign w:val="center"/>
          </w:tcPr>
          <w:p>
            <w:r/>
            <w:r>
              <w:rPr>
                <w:rFonts w:ascii="Aptos" w:hAnsi="Aptos"/>
                <w:b/>
                <w:color w:val="1F1F1F"/>
                <w:sz w:val="17"/>
              </w:rPr>
              <w:t>Tempoh</w:t>
            </w:r>
          </w:p>
        </w:tc>
        <w:tc>
          <w:tcPr>
            <w:tcW w:type="dxa" w:w="5040"/>
            <w:vAlign w:val="center"/>
          </w:tcPr>
          <w:p>
            <w:r/>
            <w:r>
              <w:rPr>
                <w:rFonts w:ascii="Aptos" w:hAnsi="Aptos"/>
                <w:b w:val="0"/>
                <w:color w:val="1F1F1F"/>
                <w:sz w:val="17"/>
              </w:rPr>
              <w:t>10 hari, boleh modular</w:t>
            </w:r>
          </w:p>
        </w:tc>
      </w:tr>
      <w:tr>
        <w:tc>
          <w:tcPr>
            <w:tcW w:type="dxa" w:w="5040"/>
            <w:vAlign w:val="center"/>
          </w:tcPr>
          <w:p>
            <w:r/>
            <w:r>
              <w:rPr>
                <w:rFonts w:ascii="Aptos" w:hAnsi="Aptos"/>
                <w:b/>
                <w:color w:val="1F1F1F"/>
                <w:sz w:val="17"/>
              </w:rPr>
              <w:t>Pendekatan</w:t>
            </w:r>
          </w:p>
        </w:tc>
        <w:tc>
          <w:tcPr>
            <w:tcW w:type="dxa" w:w="5040"/>
            <w:vAlign w:val="center"/>
          </w:tcPr>
          <w:p>
            <w:r/>
            <w:r>
              <w:rPr>
                <w:rFonts w:ascii="Aptos" w:hAnsi="Aptos"/>
                <w:b w:val="0"/>
                <w:color w:val="1F1F1F"/>
                <w:sz w:val="17"/>
              </w:rPr>
              <w:t>Hands-on: Learn → Build → Deploy → Operate</w:t>
            </w:r>
          </w:p>
        </w:tc>
      </w:tr>
      <w:tr>
        <w:tc>
          <w:tcPr>
            <w:tcW w:type="dxa" w:w="5040"/>
            <w:vAlign w:val="center"/>
          </w:tcPr>
          <w:p>
            <w:r/>
            <w:r>
              <w:rPr>
                <w:rFonts w:ascii="Aptos" w:hAnsi="Aptos"/>
                <w:b/>
                <w:color w:val="1F1F1F"/>
                <w:sz w:val="17"/>
              </w:rPr>
              <w:t>Pemilihan SME</w:t>
            </w:r>
          </w:p>
        </w:tc>
        <w:tc>
          <w:tcPr>
            <w:tcW w:type="dxa" w:w="5040"/>
            <w:vAlign w:val="center"/>
          </w:tcPr>
          <w:p>
            <w:r/>
            <w:r>
              <w:rPr>
                <w:rFonts w:ascii="Aptos" w:hAnsi="Aptos"/>
                <w:b w:val="0"/>
                <w:color w:val="1F1F1F"/>
                <w:sz w:val="17"/>
              </w:rPr>
              <w:t>Keutamaan kepada SME yang mempunyai owner/decision maker, data asas dan komitmen mengikuti keseluruhan program</w:t>
            </w:r>
          </w:p>
        </w:tc>
      </w:tr>
      <w:tr>
        <w:tc>
          <w:tcPr>
            <w:tcW w:type="dxa" w:w="5040"/>
            <w:vAlign w:val="center"/>
          </w:tcPr>
          <w:p>
            <w:r/>
            <w:r>
              <w:rPr>
                <w:rFonts w:ascii="Aptos" w:hAnsi="Aptos"/>
                <w:b/>
                <w:color w:val="1F1F1F"/>
                <w:sz w:val="17"/>
              </w:rPr>
              <w:t>Assessment</w:t>
            </w:r>
          </w:p>
        </w:tc>
        <w:tc>
          <w:tcPr>
            <w:tcW w:type="dxa" w:w="5040"/>
            <w:vAlign w:val="center"/>
          </w:tcPr>
          <w:p>
            <w:r/>
            <w:r>
              <w:rPr>
                <w:rFonts w:ascii="Aptos" w:hAnsi="Aptos"/>
                <w:b w:val="0"/>
                <w:color w:val="1F1F1F"/>
                <w:sz w:val="17"/>
              </w:rPr>
              <w:t>Baseline sebelum program + completion assessment + post-program review</w:t>
            </w:r>
          </w:p>
        </w:tc>
      </w:tr>
      <w:tr>
        <w:tc>
          <w:tcPr>
            <w:tcW w:type="dxa" w:w="5040"/>
            <w:vAlign w:val="center"/>
          </w:tcPr>
          <w:p>
            <w:r/>
            <w:r>
              <w:rPr>
                <w:rFonts w:ascii="Aptos" w:hAnsi="Aptos"/>
                <w:b/>
                <w:color w:val="1F1F1F"/>
                <w:sz w:val="17"/>
              </w:rPr>
              <w:t>DMDI visibility</w:t>
            </w:r>
          </w:p>
        </w:tc>
        <w:tc>
          <w:tcPr>
            <w:tcW w:type="dxa" w:w="5040"/>
            <w:vAlign w:val="center"/>
          </w:tcPr>
          <w:p>
            <w:r/>
            <w:r>
              <w:rPr>
                <w:rFonts w:ascii="Aptos" w:hAnsi="Aptos"/>
                <w:b w:val="0"/>
                <w:color w:val="1F1F1F"/>
                <w:sz w:val="17"/>
              </w:rPr>
              <w:t>Programme dashboard / Command Centre mengikut skop pilot</w:t>
            </w:r>
          </w:p>
        </w:tc>
      </w:tr>
      <w:tr>
        <w:tc>
          <w:tcPr>
            <w:tcW w:type="dxa" w:w="5040"/>
            <w:vAlign w:val="center"/>
          </w:tcPr>
          <w:p>
            <w:r/>
            <w:r>
              <w:rPr>
                <w:rFonts w:ascii="Aptos" w:hAnsi="Aptos"/>
                <w:b/>
                <w:color w:val="1F1F1F"/>
                <w:sz w:val="17"/>
              </w:rPr>
              <w:t>Scale decision</w:t>
            </w:r>
          </w:p>
        </w:tc>
        <w:tc>
          <w:tcPr>
            <w:tcW w:type="dxa" w:w="5040"/>
            <w:vAlign w:val="center"/>
          </w:tcPr>
          <w:p>
            <w:r/>
            <w:r>
              <w:rPr>
                <w:rFonts w:ascii="Aptos" w:hAnsi="Aptos"/>
                <w:b w:val="0"/>
                <w:color w:val="1F1F1F"/>
                <w:sz w:val="17"/>
              </w:rPr>
              <w:t>Dibuat selepas review KPI, adoption, technical readiness dan maklum balas peserta</w:t>
            </w:r>
          </w:p>
        </w:tc>
      </w:tr>
    </w:tbl>
    <w:p>
      <w:pPr>
        <w:pStyle w:val="Heading1"/>
      </w:pPr>
      <w:r>
        <w:t>13. KPI &amp; Pengukuran Impak</w:t>
      </w:r>
    </w:p>
    <w:p>
      <w:r>
        <w:t>KPI akhir perlu dipersetujui bersama DMDI sebelum cohort bermula. Cadangan kategori KPI:</w:t>
      </w:r>
    </w:p>
    <w:p>
      <w:pPr>
        <w:pStyle w:val="ListBullet"/>
        <w:spacing w:after="60"/>
      </w:pPr>
      <w:r>
        <w:t>Completion: kadar peserta melengkapkan setiap level.</w:t>
      </w:r>
    </w:p>
    <w:p>
      <w:pPr>
        <w:pStyle w:val="ListBullet"/>
        <w:spacing w:after="60"/>
      </w:pPr>
      <w:r>
        <w:t>Deployment: bilangan website/system/module yang berjaya diuji atau go-live.</w:t>
      </w:r>
    </w:p>
    <w:p>
      <w:pPr>
        <w:pStyle w:val="ListBullet"/>
        <w:spacing w:after="60"/>
      </w:pPr>
      <w:r>
        <w:t>Data readiness: SME yang mempunyai data operasi/kewangan lebih tersusun.</w:t>
      </w:r>
    </w:p>
    <w:p>
      <w:pPr>
        <w:pStyle w:val="ListBullet"/>
        <w:spacing w:after="60"/>
      </w:pPr>
      <w:r>
        <w:t>Adoption: penggunaan dashboard, workflow dan automation selepas latihan.</w:t>
      </w:r>
    </w:p>
    <w:p>
      <w:pPr>
        <w:pStyle w:val="ListBullet"/>
        <w:spacing w:after="60"/>
      </w:pPr>
      <w:r>
        <w:t>Efficiency: masa kerja manual yang dapat dikurangkan bagi use case yang diukur.</w:t>
      </w:r>
    </w:p>
    <w:p>
      <w:pPr>
        <w:pStyle w:val="ListBullet"/>
        <w:spacing w:after="60"/>
      </w:pPr>
      <w:r>
        <w:t>Management visibility: keupayaan DMDI melihat status cohort melalui dashboard.</w:t>
      </w:r>
    </w:p>
    <w:p>
      <w:pPr>
        <w:pStyle w:val="ListBullet"/>
        <w:spacing w:after="60"/>
      </w:pPr>
      <w:r>
        <w:t>Business outcome: indikator yang sesuai seperti lead, order, stock accuracy, reporting speed atau process turnaround — diukur hanya jika baseline tersedia.</w:t>
      </w:r>
    </w:p>
    <w:p>
      <w:r>
        <w:t>AINNA mencadangkan agar KPI tidak menjanjikan peningkatan revenue tertentu kerana prestasi jualan turut dipengaruhi oleh produk, pasaran, modal, execution dan faktor luar. Program perlu mengukur outcome yang boleh dikaitkan secara munasabah dengan intervensi.</w:t>
      </w:r>
    </w:p>
    <w:p>
      <w:pPr>
        <w:pStyle w:val="Heading1"/>
      </w:pPr>
      <w:r>
        <w:t>14. Governance, Data &amp; Keselamatan</w:t>
      </w:r>
    </w:p>
    <w:p>
      <w:pPr>
        <w:pStyle w:val="ListBullet"/>
        <w:spacing w:after="60"/>
      </w:pPr>
      <w:r>
        <w:t>Data setiap SME dipisahkan secara logikal/teknikal mengikut architecture yang dipersetujui.</w:t>
      </w:r>
    </w:p>
    <w:p>
      <w:pPr>
        <w:pStyle w:val="ListBullet"/>
        <w:spacing w:after="60"/>
      </w:pPr>
      <w:r>
        <w:t>Access control berdasarkan role; DMDI hanya melihat data programme/KPI yang dibenarkan.</w:t>
      </w:r>
    </w:p>
    <w:p>
      <w:pPr>
        <w:pStyle w:val="ListBullet"/>
        <w:spacing w:after="60"/>
      </w:pPr>
      <w:r>
        <w:t>Tindakan AI berimpak tinggi menggunakan human approval.</w:t>
      </w:r>
    </w:p>
    <w:p>
      <w:pPr>
        <w:pStyle w:val="ListBullet"/>
        <w:spacing w:after="60"/>
      </w:pPr>
      <w:r>
        <w:t>Audit trail untuk tindakan sistem/agent yang relevan.</w:t>
      </w:r>
    </w:p>
    <w:p>
      <w:pPr>
        <w:pStyle w:val="ListBullet"/>
        <w:spacing w:after="60"/>
      </w:pPr>
      <w:r>
        <w:t>Data retention, backup, hosting dan disaster recovery ditentukan dalam technical scope.</w:t>
      </w:r>
    </w:p>
    <w:p>
      <w:pPr>
        <w:pStyle w:val="ListBullet"/>
        <w:spacing w:after="60"/>
      </w:pPr>
      <w:r>
        <w:t>Penggunaan model pihak ketiga, local model atau hosted model ditentukan mengikut sensitivity, kos dan requirement.</w:t>
      </w:r>
    </w:p>
    <w:p>
      <w:pPr>
        <w:pStyle w:val="ListBullet"/>
        <w:spacing w:after="60"/>
      </w:pPr>
      <w:r>
        <w:t>Dokumen legal seperti NDA, data-processing terms dan acceptable-use policy disediakan mengikut keperluan.</w:t>
      </w:r>
    </w:p>
    <w:p>
      <w:r>
        <w:br w:type="page"/>
      </w:r>
    </w:p>
    <w:p>
      <w:pPr>
        <w:pStyle w:val="Heading1"/>
      </w:pPr>
      <w:r>
        <w:t>15. Peranan &amp; Tanggungjawab</w:t>
      </w:r>
    </w:p>
    <w:tbl>
      <w:tblPr>
        <w:tblStyle w:val="TableGrid"/>
        <w:tblW w:type="auto" w:w="0"/>
        <w:jc w:val="center"/>
        <w:tblLook w:firstColumn="1" w:firstRow="1" w:lastColumn="0" w:lastRow="0" w:noHBand="0" w:noVBand="1" w:val="04A0"/>
      </w:tblPr>
      <w:tblGrid>
        <w:gridCol w:w="3360"/>
        <w:gridCol w:w="3360"/>
        <w:gridCol w:w="3360"/>
      </w:tblGrid>
      <w:tr>
        <w:tc>
          <w:tcPr>
            <w:tcW w:type="dxa" w:w="3360"/>
            <w:vAlign w:val="center"/>
            <w:shd w:fill="17365D"/>
          </w:tcPr>
          <w:p>
            <w:r/>
            <w:r>
              <w:rPr>
                <w:rFonts w:ascii="Aptos" w:hAnsi="Aptos"/>
                <w:b/>
                <w:color w:val="FFFFFF"/>
                <w:sz w:val="18"/>
              </w:rPr>
              <w:t>Pihak</w:t>
            </w:r>
          </w:p>
        </w:tc>
        <w:tc>
          <w:tcPr>
            <w:tcW w:type="dxa" w:w="3360"/>
            <w:vAlign w:val="center"/>
            <w:shd w:fill="17365D"/>
          </w:tcPr>
          <w:p>
            <w:r/>
            <w:r>
              <w:rPr>
                <w:rFonts w:ascii="Aptos" w:hAnsi="Aptos"/>
                <w:b/>
                <w:color w:val="FFFFFF"/>
                <w:sz w:val="18"/>
              </w:rPr>
              <w:t>Peranan Utama</w:t>
            </w:r>
          </w:p>
        </w:tc>
        <w:tc>
          <w:tcPr>
            <w:tcW w:type="dxa" w:w="3360"/>
            <w:vAlign w:val="center"/>
            <w:shd w:fill="17365D"/>
          </w:tcPr>
          <w:p>
            <w:r/>
            <w:r>
              <w:rPr>
                <w:rFonts w:ascii="Aptos" w:hAnsi="Aptos"/>
                <w:b/>
                <w:color w:val="FFFFFF"/>
                <w:sz w:val="18"/>
              </w:rPr>
              <w:t>Contoh Tanggungjawab</w:t>
            </w:r>
          </w:p>
        </w:tc>
      </w:tr>
      <w:tr>
        <w:tc>
          <w:tcPr>
            <w:tcW w:type="dxa" w:w="3360"/>
            <w:vAlign w:val="center"/>
          </w:tcPr>
          <w:p>
            <w:r/>
            <w:r>
              <w:rPr>
                <w:rFonts w:ascii="Aptos" w:hAnsi="Aptos"/>
                <w:b w:val="0"/>
                <w:color w:val="1F1F1F"/>
                <w:sz w:val="17"/>
              </w:rPr>
              <w:t>DMDI</w:t>
            </w:r>
          </w:p>
        </w:tc>
        <w:tc>
          <w:tcPr>
            <w:tcW w:type="dxa" w:w="3360"/>
            <w:vAlign w:val="center"/>
          </w:tcPr>
          <w:p>
            <w:r/>
            <w:r>
              <w:rPr>
                <w:rFonts w:ascii="Aptos" w:hAnsi="Aptos"/>
                <w:b w:val="0"/>
                <w:color w:val="1F1F1F"/>
                <w:sz w:val="17"/>
              </w:rPr>
              <w:t>Programme owner / ecosystem partner</w:t>
            </w:r>
          </w:p>
        </w:tc>
        <w:tc>
          <w:tcPr>
            <w:tcW w:type="dxa" w:w="3360"/>
            <w:vAlign w:val="center"/>
          </w:tcPr>
          <w:p>
            <w:r/>
            <w:r>
              <w:rPr>
                <w:rFonts w:ascii="Aptos" w:hAnsi="Aptos"/>
                <w:b w:val="0"/>
                <w:color w:val="1F1F1F"/>
                <w:sz w:val="17"/>
              </w:rPr>
              <w:t>Pemilihan cohort; venue/coordination; programme governance; access kepada peserta; approval KPI dan reporting</w:t>
            </w:r>
          </w:p>
        </w:tc>
      </w:tr>
      <w:tr>
        <w:tc>
          <w:tcPr>
            <w:tcW w:type="dxa" w:w="3360"/>
            <w:vAlign w:val="center"/>
          </w:tcPr>
          <w:p>
            <w:r/>
            <w:r>
              <w:rPr>
                <w:rFonts w:ascii="Aptos" w:hAnsi="Aptos"/>
                <w:b w:val="0"/>
                <w:color w:val="1F1F1F"/>
                <w:sz w:val="17"/>
              </w:rPr>
              <w:t>AINNA</w:t>
            </w:r>
          </w:p>
        </w:tc>
        <w:tc>
          <w:tcPr>
            <w:tcW w:type="dxa" w:w="3360"/>
            <w:vAlign w:val="center"/>
          </w:tcPr>
          <w:p>
            <w:r/>
            <w:r>
              <w:rPr>
                <w:rFonts w:ascii="Aptos" w:hAnsi="Aptos"/>
                <w:b w:val="0"/>
                <w:color w:val="1F1F1F"/>
                <w:sz w:val="17"/>
              </w:rPr>
              <w:t>Technology, training &amp; implementation partner</w:t>
            </w:r>
          </w:p>
        </w:tc>
        <w:tc>
          <w:tcPr>
            <w:tcW w:type="dxa" w:w="3360"/>
            <w:vAlign w:val="center"/>
          </w:tcPr>
          <w:p>
            <w:r/>
            <w:r>
              <w:rPr>
                <w:rFonts w:ascii="Aptos" w:hAnsi="Aptos"/>
                <w:b w:val="0"/>
                <w:color w:val="1F1F1F"/>
                <w:sz w:val="17"/>
              </w:rPr>
              <w:t>Training; system build guidance; technical deployment; dashboard; automation/AI; documentation; technical support mengikut skop</w:t>
            </w:r>
          </w:p>
        </w:tc>
      </w:tr>
      <w:tr>
        <w:tc>
          <w:tcPr>
            <w:tcW w:type="dxa" w:w="3360"/>
            <w:vAlign w:val="center"/>
          </w:tcPr>
          <w:p>
            <w:r/>
            <w:r>
              <w:rPr>
                <w:rFonts w:ascii="Aptos" w:hAnsi="Aptos"/>
                <w:b w:val="0"/>
                <w:color w:val="1F1F1F"/>
                <w:sz w:val="17"/>
              </w:rPr>
              <w:t>SME Peserta</w:t>
            </w:r>
          </w:p>
        </w:tc>
        <w:tc>
          <w:tcPr>
            <w:tcW w:type="dxa" w:w="3360"/>
            <w:vAlign w:val="center"/>
          </w:tcPr>
          <w:p>
            <w:r/>
            <w:r>
              <w:rPr>
                <w:rFonts w:ascii="Aptos" w:hAnsi="Aptos"/>
                <w:b w:val="0"/>
                <w:color w:val="1F1F1F"/>
                <w:sz w:val="17"/>
              </w:rPr>
              <w:t>Business owner &amp; data owner</w:t>
            </w:r>
          </w:p>
        </w:tc>
        <w:tc>
          <w:tcPr>
            <w:tcW w:type="dxa" w:w="3360"/>
            <w:vAlign w:val="center"/>
          </w:tcPr>
          <w:p>
            <w:r/>
            <w:r>
              <w:rPr>
                <w:rFonts w:ascii="Aptos" w:hAnsi="Aptos"/>
                <w:b w:val="0"/>
                <w:color w:val="1F1F1F"/>
                <w:sz w:val="17"/>
              </w:rPr>
              <w:t>Hadir program; sediakan data; buat keputusan business; test system; validate output; patuhi security/data requirements</w:t>
            </w:r>
          </w:p>
        </w:tc>
      </w:tr>
    </w:tbl>
    <w:p>
      <w:pPr>
        <w:pStyle w:val="Heading1"/>
      </w:pPr>
      <w:r>
        <w:t>16. Roadmap Pelaksanaan</w:t>
      </w:r>
    </w:p>
    <w:tbl>
      <w:tblPr>
        <w:tblStyle w:val="TableGrid"/>
        <w:tblW w:type="auto" w:w="0"/>
        <w:jc w:val="center"/>
        <w:tblLook w:firstColumn="1" w:firstRow="1" w:lastColumn="0" w:lastRow="0" w:noHBand="0" w:noVBand="1" w:val="04A0"/>
      </w:tblPr>
      <w:tblGrid>
        <w:gridCol w:w="3360"/>
        <w:gridCol w:w="3360"/>
        <w:gridCol w:w="3360"/>
      </w:tblGrid>
      <w:tr>
        <w:tc>
          <w:tcPr>
            <w:tcW w:type="dxa" w:w="3360"/>
            <w:vAlign w:val="center"/>
            <w:shd w:fill="1F4E79"/>
          </w:tcPr>
          <w:p>
            <w:r/>
            <w:r>
              <w:rPr>
                <w:rFonts w:ascii="Aptos" w:hAnsi="Aptos"/>
                <w:b/>
                <w:color w:val="FFFFFF"/>
                <w:sz w:val="18"/>
              </w:rPr>
              <w:t>Fasa</w:t>
            </w:r>
          </w:p>
        </w:tc>
        <w:tc>
          <w:tcPr>
            <w:tcW w:type="dxa" w:w="3360"/>
            <w:vAlign w:val="center"/>
            <w:shd w:fill="1F4E79"/>
          </w:tcPr>
          <w:p>
            <w:r/>
            <w:r>
              <w:rPr>
                <w:rFonts w:ascii="Aptos" w:hAnsi="Aptos"/>
                <w:b/>
                <w:color w:val="FFFFFF"/>
                <w:sz w:val="18"/>
              </w:rPr>
              <w:t>Jangkaan</w:t>
            </w:r>
          </w:p>
        </w:tc>
        <w:tc>
          <w:tcPr>
            <w:tcW w:type="dxa" w:w="3360"/>
            <w:vAlign w:val="center"/>
            <w:shd w:fill="1F4E79"/>
          </w:tcPr>
          <w:p>
            <w:r/>
            <w:r>
              <w:rPr>
                <w:rFonts w:ascii="Aptos" w:hAnsi="Aptos"/>
                <w:b/>
                <w:color w:val="FFFFFF"/>
                <w:sz w:val="18"/>
              </w:rPr>
              <w:t>Skop</w:t>
            </w:r>
          </w:p>
        </w:tc>
      </w:tr>
      <w:tr>
        <w:tc>
          <w:tcPr>
            <w:tcW w:type="dxa" w:w="3360"/>
            <w:vAlign w:val="center"/>
          </w:tcPr>
          <w:p>
            <w:r/>
            <w:r>
              <w:rPr>
                <w:rFonts w:ascii="Aptos" w:hAnsi="Aptos"/>
                <w:b w:val="0"/>
                <w:color w:val="1F1F1F"/>
                <w:sz w:val="17"/>
              </w:rPr>
              <w:t>Fasa 0 — Discovery &amp; Design</w:t>
            </w:r>
          </w:p>
        </w:tc>
        <w:tc>
          <w:tcPr>
            <w:tcW w:type="dxa" w:w="3360"/>
            <w:vAlign w:val="center"/>
          </w:tcPr>
          <w:p>
            <w:r/>
            <w:r>
              <w:rPr>
                <w:rFonts w:ascii="Aptos" w:hAnsi="Aptos"/>
                <w:b w:val="0"/>
                <w:color w:val="1F1F1F"/>
                <w:sz w:val="17"/>
              </w:rPr>
              <w:t>2–4 minggu</w:t>
            </w:r>
          </w:p>
        </w:tc>
        <w:tc>
          <w:tcPr>
            <w:tcW w:type="dxa" w:w="3360"/>
            <w:vAlign w:val="center"/>
          </w:tcPr>
          <w:p>
            <w:r/>
            <w:r>
              <w:rPr>
                <w:rFonts w:ascii="Aptos" w:hAnsi="Aptos"/>
                <w:b w:val="0"/>
                <w:color w:val="1F1F1F"/>
                <w:sz w:val="17"/>
              </w:rPr>
              <w:t>Workshop DMDI, pemetaan proses, selection criteria, KPI, technical scope dan readiness assessment.</w:t>
            </w:r>
          </w:p>
        </w:tc>
      </w:tr>
      <w:tr>
        <w:tc>
          <w:tcPr>
            <w:tcW w:type="dxa" w:w="3360"/>
            <w:vAlign w:val="center"/>
          </w:tcPr>
          <w:p>
            <w:r/>
            <w:r>
              <w:rPr>
                <w:rFonts w:ascii="Aptos" w:hAnsi="Aptos"/>
                <w:b w:val="0"/>
                <w:color w:val="1F1F1F"/>
                <w:sz w:val="17"/>
              </w:rPr>
              <w:t>Fasa 1 — Pilot Cohort</w:t>
            </w:r>
          </w:p>
        </w:tc>
        <w:tc>
          <w:tcPr>
            <w:tcW w:type="dxa" w:w="3360"/>
            <w:vAlign w:val="center"/>
          </w:tcPr>
          <w:p>
            <w:r/>
            <w:r>
              <w:rPr>
                <w:rFonts w:ascii="Aptos" w:hAnsi="Aptos"/>
                <w:b w:val="0"/>
                <w:color w:val="1F1F1F"/>
                <w:sz w:val="17"/>
              </w:rPr>
              <w:t>10 hari / modular</w:t>
            </w:r>
          </w:p>
        </w:tc>
        <w:tc>
          <w:tcPr>
            <w:tcW w:type="dxa" w:w="3360"/>
            <w:vAlign w:val="center"/>
          </w:tcPr>
          <w:p>
            <w:r/>
            <w:r>
              <w:rPr>
                <w:rFonts w:ascii="Aptos" w:hAnsi="Aptos"/>
                <w:b w:val="0"/>
                <w:color w:val="1F1F1F"/>
                <w:sz w:val="17"/>
              </w:rPr>
              <w:t>10–20 SME menjalani Level 1–3 dan menghasilkan working outputs.</w:t>
            </w:r>
          </w:p>
        </w:tc>
      </w:tr>
      <w:tr>
        <w:tc>
          <w:tcPr>
            <w:tcW w:type="dxa" w:w="3360"/>
            <w:vAlign w:val="center"/>
          </w:tcPr>
          <w:p>
            <w:r/>
            <w:r>
              <w:rPr>
                <w:rFonts w:ascii="Aptos" w:hAnsi="Aptos"/>
                <w:b w:val="0"/>
                <w:color w:val="1F1F1F"/>
                <w:sz w:val="17"/>
              </w:rPr>
              <w:t>Fasa 2 — Stabilisation &amp; Review</w:t>
            </w:r>
          </w:p>
        </w:tc>
        <w:tc>
          <w:tcPr>
            <w:tcW w:type="dxa" w:w="3360"/>
            <w:vAlign w:val="center"/>
          </w:tcPr>
          <w:p>
            <w:r/>
            <w:r>
              <w:rPr>
                <w:rFonts w:ascii="Aptos" w:hAnsi="Aptos"/>
                <w:b w:val="0"/>
                <w:color w:val="1F1F1F"/>
                <w:sz w:val="17"/>
              </w:rPr>
              <w:t>2–6 minggu</w:t>
            </w:r>
          </w:p>
        </w:tc>
        <w:tc>
          <w:tcPr>
            <w:tcW w:type="dxa" w:w="3360"/>
            <w:vAlign w:val="center"/>
          </w:tcPr>
          <w:p>
            <w:r/>
            <w:r>
              <w:rPr>
                <w:rFonts w:ascii="Aptos" w:hAnsi="Aptos"/>
                <w:b w:val="0"/>
                <w:color w:val="1F1F1F"/>
                <w:sz w:val="17"/>
              </w:rPr>
              <w:t>Support, bug fixing, adoption review, KPI evaluation dan improvement backlog.</w:t>
            </w:r>
          </w:p>
        </w:tc>
      </w:tr>
      <w:tr>
        <w:tc>
          <w:tcPr>
            <w:tcW w:type="dxa" w:w="3360"/>
            <w:vAlign w:val="center"/>
          </w:tcPr>
          <w:p>
            <w:r/>
            <w:r>
              <w:rPr>
                <w:rFonts w:ascii="Aptos" w:hAnsi="Aptos"/>
                <w:b w:val="0"/>
                <w:color w:val="1F1F1F"/>
                <w:sz w:val="17"/>
              </w:rPr>
              <w:t>Fasa 3 — DMDI Command Centre</w:t>
            </w:r>
          </w:p>
        </w:tc>
        <w:tc>
          <w:tcPr>
            <w:tcW w:type="dxa" w:w="3360"/>
            <w:vAlign w:val="center"/>
          </w:tcPr>
          <w:p>
            <w:r/>
            <w:r>
              <w:rPr>
                <w:rFonts w:ascii="Aptos" w:hAnsi="Aptos"/>
                <w:b w:val="0"/>
                <w:color w:val="1F1F1F"/>
                <w:sz w:val="17"/>
              </w:rPr>
              <w:t>Mengikut skop</w:t>
            </w:r>
          </w:p>
        </w:tc>
        <w:tc>
          <w:tcPr>
            <w:tcW w:type="dxa" w:w="3360"/>
            <w:vAlign w:val="center"/>
          </w:tcPr>
          <w:p>
            <w:r/>
            <w:r>
              <w:rPr>
                <w:rFonts w:ascii="Aptos" w:hAnsi="Aptos"/>
                <w:b w:val="0"/>
                <w:color w:val="1F1F1F"/>
                <w:sz w:val="17"/>
              </w:rPr>
              <w:t>Pemantapan central programme dashboard dan Executive AI capability.</w:t>
            </w:r>
          </w:p>
        </w:tc>
      </w:tr>
      <w:tr>
        <w:tc>
          <w:tcPr>
            <w:tcW w:type="dxa" w:w="3360"/>
            <w:vAlign w:val="center"/>
          </w:tcPr>
          <w:p>
            <w:r/>
            <w:r>
              <w:rPr>
                <w:rFonts w:ascii="Aptos" w:hAnsi="Aptos"/>
                <w:b w:val="0"/>
                <w:color w:val="1F1F1F"/>
                <w:sz w:val="17"/>
              </w:rPr>
              <w:t>Fasa 4 — Scale</w:t>
            </w:r>
          </w:p>
        </w:tc>
        <w:tc>
          <w:tcPr>
            <w:tcW w:type="dxa" w:w="3360"/>
            <w:vAlign w:val="center"/>
          </w:tcPr>
          <w:p>
            <w:r/>
            <w:r>
              <w:rPr>
                <w:rFonts w:ascii="Aptos" w:hAnsi="Aptos"/>
                <w:b w:val="0"/>
                <w:color w:val="1F1F1F"/>
                <w:sz w:val="17"/>
              </w:rPr>
              <w:t>Berfasa</w:t>
            </w:r>
          </w:p>
        </w:tc>
        <w:tc>
          <w:tcPr>
            <w:tcW w:type="dxa" w:w="3360"/>
            <w:vAlign w:val="center"/>
          </w:tcPr>
          <w:p>
            <w:r/>
            <w:r>
              <w:rPr>
                <w:rFonts w:ascii="Aptos" w:hAnsi="Aptos"/>
                <w:b w:val="0"/>
                <w:color w:val="1F1F1F"/>
                <w:sz w:val="17"/>
              </w:rPr>
              <w:t>Tambah cohort/negeri/vertical; standardise reusable modules.</w:t>
            </w:r>
          </w:p>
        </w:tc>
      </w:tr>
      <w:tr>
        <w:tc>
          <w:tcPr>
            <w:tcW w:type="dxa" w:w="3360"/>
            <w:vAlign w:val="center"/>
          </w:tcPr>
          <w:p>
            <w:r/>
            <w:r>
              <w:rPr>
                <w:rFonts w:ascii="Aptos" w:hAnsi="Aptos"/>
                <w:b w:val="0"/>
                <w:color w:val="1F1F1F"/>
                <w:sz w:val="17"/>
              </w:rPr>
              <w:t>Fasa 5 — Regional Option</w:t>
            </w:r>
          </w:p>
        </w:tc>
        <w:tc>
          <w:tcPr>
            <w:tcW w:type="dxa" w:w="3360"/>
            <w:vAlign w:val="center"/>
          </w:tcPr>
          <w:p>
            <w:r/>
            <w:r>
              <w:rPr>
                <w:rFonts w:ascii="Aptos" w:hAnsi="Aptos"/>
                <w:b w:val="0"/>
                <w:color w:val="1F1F1F"/>
                <w:sz w:val="17"/>
              </w:rPr>
              <w:t>Selepas model terbukti</w:t>
            </w:r>
          </w:p>
        </w:tc>
        <w:tc>
          <w:tcPr>
            <w:tcW w:type="dxa" w:w="3360"/>
            <w:vAlign w:val="center"/>
          </w:tcPr>
          <w:p>
            <w:r/>
            <w:r>
              <w:rPr>
                <w:rFonts w:ascii="Aptos" w:hAnsi="Aptos"/>
                <w:b w:val="0"/>
                <w:color w:val="1F1F1F"/>
                <w:sz w:val="17"/>
              </w:rPr>
              <w:t>Pertimbangkan replication melalui rangkaian DMDI antarabangsa.</w:t>
            </w:r>
          </w:p>
        </w:tc>
      </w:tr>
    </w:tbl>
    <w:p>
      <w:pPr>
        <w:pStyle w:val="Heading1"/>
      </w:pPr>
      <w:r>
        <w:t>17. Cadangan Syarat Penyertaan SME</w:t>
      </w:r>
    </w:p>
    <w:p>
      <w:pPr>
        <w:pStyle w:val="ListBullet"/>
        <w:spacing w:after="60"/>
      </w:pPr>
      <w:r>
        <w:t>Pemilik atau decision maker terlibat sekurang-kurangnya pada sesi utama.</w:t>
      </w:r>
    </w:p>
    <w:p>
      <w:pPr>
        <w:pStyle w:val="ListBullet"/>
        <w:spacing w:after="60"/>
      </w:pPr>
      <w:r>
        <w:t>Mempunyai perniagaan aktif dan produk/perkhidmatan yang jelas.</w:t>
      </w:r>
    </w:p>
    <w:p>
      <w:pPr>
        <w:pStyle w:val="ListBullet"/>
        <w:spacing w:after="60"/>
      </w:pPr>
      <w:r>
        <w:t>Membawa data asas yang diperlukan mengikut modul (contoh: product list, sales/order data, bank records jika menyertai finance module).</w:t>
      </w:r>
    </w:p>
    <w:p>
      <w:pPr>
        <w:pStyle w:val="ListBullet"/>
        <w:spacing w:after="60"/>
      </w:pPr>
      <w:r>
        <w:t>Mempunyai laptop dan akses kepada akaun digital berkaitan.</w:t>
      </w:r>
    </w:p>
    <w:p>
      <w:pPr>
        <w:pStyle w:val="ListBullet"/>
        <w:spacing w:after="60"/>
      </w:pPr>
      <w:r>
        <w:t>Bersetuju mengikuti SOP keselamatan, data dan penggunaan AI.</w:t>
      </w:r>
    </w:p>
    <w:p>
      <w:pPr>
        <w:pStyle w:val="ListBullet"/>
        <w:spacing w:after="60"/>
      </w:pPr>
      <w:r>
        <w:t>Komited menyelesaikan tugasan antara sesi dan membuat testing.</w:t>
      </w:r>
    </w:p>
    <w:p>
      <w:pPr>
        <w:pStyle w:val="Heading1"/>
      </w:pPr>
      <w:r>
        <w:t>18. Skop Komersial &amp; Item Berasingan</w:t>
      </w:r>
    </w:p>
    <w:p>
      <w:r>
        <w:t>Dokumen ini merupakan proposal konsep untuk pertimbangan pengurusan tertinggi. Sebut harga terperinci dicadangkan selepas discovery supaya DMDI boleh memilih tahap pelaksanaan yang sesuai. Kos hendaklah dipisahkan secara telus antara programme fee dan kos pihak ketiga.</w:t>
      </w:r>
    </w:p>
    <w:p>
      <w:pPr>
        <w:pStyle w:val="ListBullet"/>
        <w:spacing w:after="60"/>
      </w:pPr>
      <w:r>
        <w:t>Professional/training &amp; implementation fee.</w:t>
      </w:r>
    </w:p>
    <w:p>
      <w:pPr>
        <w:pStyle w:val="ListBullet"/>
        <w:spacing w:after="60"/>
      </w:pPr>
      <w:r>
        <w:t>Infrastructure/hosting/VPS jika diperlukan.</w:t>
      </w:r>
    </w:p>
    <w:p>
      <w:pPr>
        <w:pStyle w:val="ListBullet"/>
        <w:spacing w:after="60"/>
      </w:pPr>
      <w:r>
        <w:t>Domain dan third-party services.</w:t>
      </w:r>
    </w:p>
    <w:p>
      <w:pPr>
        <w:pStyle w:val="ListBullet"/>
        <w:spacing w:after="60"/>
      </w:pPr>
      <w:r>
        <w:t>Model AI/API subscription atau local model deployment.</w:t>
      </w:r>
    </w:p>
    <w:p>
      <w:pPr>
        <w:pStyle w:val="ListBullet"/>
        <w:spacing w:after="60"/>
      </w:pPr>
      <w:r>
        <w:t>Custom integration dengan sistem luar.</w:t>
      </w:r>
    </w:p>
    <w:p>
      <w:pPr>
        <w:pStyle w:val="ListBullet"/>
        <w:spacing w:after="60"/>
      </w:pPr>
      <w:r>
        <w:t>Post-program support / maintenance / SLA.</w:t>
      </w:r>
    </w:p>
    <w:p>
      <w:pPr>
        <w:pStyle w:val="ListBullet"/>
        <w:spacing w:after="60"/>
      </w:pPr>
      <w:r>
        <w:t>Travel, accommodation atau venue jika berkenaan.</w:t>
      </w:r>
    </w:p>
    <w:p>
      <w:pPr>
        <w:pStyle w:val="Heading1"/>
      </w:pPr>
      <w:r>
        <w:t>19. Nilai Strategik kepada DMDI</w:t>
      </w:r>
    </w:p>
    <w:p>
      <w:pPr>
        <w:pStyle w:val="ListBullet"/>
        <w:spacing w:after="60"/>
      </w:pPr>
      <w:r>
        <w:t>Program keusahawanan bergerak daripada awareness/training kepada measurable implementation.</w:t>
      </w:r>
    </w:p>
    <w:p>
      <w:pPr>
        <w:pStyle w:val="ListBullet"/>
        <w:spacing w:after="60"/>
      </w:pPr>
      <w:r>
        <w:t>DMDI mempunyai data programme yang lebih tersusun untuk monitoring dan management reporting.</w:t>
      </w:r>
    </w:p>
    <w:p>
      <w:pPr>
        <w:pStyle w:val="ListBullet"/>
        <w:spacing w:after="60"/>
      </w:pPr>
      <w:r>
        <w:t>SME mendapat digital assets dan sistem yang boleh terus digunakan.</w:t>
      </w:r>
    </w:p>
    <w:p>
      <w:pPr>
        <w:pStyle w:val="ListBullet"/>
        <w:spacing w:after="60"/>
      </w:pPr>
      <w:r>
        <w:t>AI diperkenalkan berdasarkan business use case, bukan sebagai teknologi terasing.</w:t>
      </w:r>
    </w:p>
    <w:p>
      <w:pPr>
        <w:pStyle w:val="ListBullet"/>
        <w:spacing w:after="60"/>
      </w:pPr>
      <w:r>
        <w:t>Model cohort boleh distandardkan dan diulang dengan kos serta skop yang lebih terkawal.</w:t>
      </w:r>
    </w:p>
    <w:p>
      <w:pPr>
        <w:pStyle w:val="ListBullet"/>
        <w:spacing w:after="60"/>
      </w:pPr>
      <w:r>
        <w:t>Selepas pilot matang, rangkaian 23 negara DMDI memberi pilihan untuk regional replication dan business collaboration.</w:t>
      </w:r>
    </w:p>
    <w:p>
      <w:pPr>
        <w:pStyle w:val="Heading1"/>
      </w:pPr>
      <w:r>
        <w:t>20. Cadangan Keputusan Pengurusan</w:t>
      </w:r>
    </w:p>
    <w:p>
      <w:r>
        <w:t>Untuk bergerak ke peringkat seterusnya, AINNA mencadangkan pengurusan DMDI mempertimbangkan kelulusan prinsip bagi:</w:t>
      </w:r>
    </w:p>
    <w:p>
      <w:pPr>
        <w:pStyle w:val="ListNumber"/>
        <w:spacing w:after="60"/>
      </w:pPr>
      <w:r>
        <w:t>Sesi Strategic Discovery antara DMDI dan AINNA.</w:t>
      </w:r>
    </w:p>
    <w:p>
      <w:pPr>
        <w:pStyle w:val="ListNumber"/>
        <w:spacing w:after="60"/>
      </w:pPr>
      <w:r>
        <w:t>Pemilihan 10–20 SME untuk pilot cohort.</w:t>
      </w:r>
    </w:p>
    <w:p>
      <w:pPr>
        <w:pStyle w:val="ListNumber"/>
        <w:spacing w:after="60"/>
      </w:pPr>
      <w:r>
        <w:t>Pengesahan 10-day programme structure dan KPI.</w:t>
      </w:r>
    </w:p>
    <w:p>
      <w:pPr>
        <w:pStyle w:val="ListNumber"/>
        <w:spacing w:after="60"/>
      </w:pPr>
      <w:r>
        <w:t>Pemetaan keperluan DMDI SME Command Centre.</w:t>
      </w:r>
    </w:p>
    <w:p>
      <w:pPr>
        <w:pStyle w:val="ListNumber"/>
        <w:spacing w:after="60"/>
      </w:pPr>
      <w:r>
        <w:t>Penyediaan technical scope, timeline, commercial proposal dan governance document untuk kelulusan seterusnya.</w:t>
      </w:r>
    </w:p>
    <w:p>
      <w:pPr>
        <w:spacing w:before="240"/>
      </w:pPr>
      <w:r>
        <w:rPr>
          <w:b/>
          <w:color w:val="C00000"/>
          <w:sz w:val="30"/>
        </w:rPr>
        <w:t>TRAINING IS THE BEGINNING — NOT THE DELIVERABLE.</w:t>
      </w:r>
    </w:p>
    <w:p>
      <w:r>
        <w:rPr>
          <w:b/>
          <w:color w:val="17365D"/>
          <w:sz w:val="22"/>
        </w:rPr>
        <w:t>Hasil yang disasarkan ialah SME yang mempunyai working digital infrastructure, data yang lebih tersusun, automasi yang relevan dan asas untuk menggunakan Agentic AI secara terkawal.</w:t>
      </w:r>
    </w:p>
    <w:p>
      <w:r>
        <w:br w:type="page"/>
      </w:r>
    </w:p>
    <w:p>
      <w:pPr>
        <w:pStyle w:val="Heading1"/>
      </w:pPr>
      <w:r>
        <w:t>Lampiran A — Asas Strategik DMDI</w:t>
      </w:r>
    </w:p>
    <w:p>
      <w:r>
        <w:t>Cadangan ini mengambil kira maklumat awam DMDI dan rekod kerjasama berkaitan keusahawanan. Maklumat berikut perlu disahkan semula bersama DMDI semasa discovery sebelum dimasukkan ke dalam dokumen kontrak atau KPI rasmi.</w:t>
      </w:r>
    </w:p>
    <w:p>
      <w:r>
        <w:rPr>
          <w:b/>
          <w:color w:val="1F4E79"/>
        </w:rPr>
        <w:t>DMDI — Sektor Ekonomi Yayasan DMDI</w:t>
      </w:r>
    </w:p>
    <w:p>
      <w:pPr>
        <w:ind w:left="288"/>
      </w:pPr>
      <w:r>
        <w:t>Sektor Ekonomi menyatakan peranan memperkasa keusahawanan dan pembangunan ekonomi melalui inisiatif, jaringan perniagaan dan program bimbingan usahawan.</w:t>
      </w:r>
    </w:p>
    <w:p>
      <w:pPr>
        <w:pStyle w:val="SmallNote"/>
        <w:ind w:left="288"/>
      </w:pPr>
      <w:r>
        <w:t>https://dmdi.my/yayasan-sektor-ekonomi/</w:t>
      </w:r>
    </w:p>
    <w:p>
      <w:r>
        <w:rPr>
          <w:b/>
          <w:color w:val="1F4E79"/>
        </w:rPr>
        <w:t>DMDI — Negara Anggota</w:t>
      </w:r>
    </w:p>
    <w:p>
      <w:pPr>
        <w:ind w:left="288"/>
      </w:pPr>
      <w:r>
        <w:t>Laman rasmi DMDI menyatakan jaringan 23 negara anggota.</w:t>
      </w:r>
    </w:p>
    <w:p>
      <w:pPr>
        <w:pStyle w:val="SmallNote"/>
        <w:ind w:left="288"/>
      </w:pPr>
      <w:r>
        <w:t>https://dmdi.my/sekretariat-negara-anggota/</w:t>
      </w:r>
    </w:p>
    <w:p>
      <w:r>
        <w:rPr>
          <w:b/>
          <w:color w:val="1F4E79"/>
        </w:rPr>
        <w:t>DMDI — Latar Belakang Sekretariat</w:t>
      </w:r>
    </w:p>
    <w:p>
      <w:pPr>
        <w:ind w:left="288"/>
      </w:pPr>
      <w:r>
        <w:t>Misi DMDI merangkumi penyelarasan dan pemantauan program serta kerjasama dalam bidang ekonomi dan teknologi.</w:t>
      </w:r>
    </w:p>
    <w:p>
      <w:pPr>
        <w:pStyle w:val="SmallNote"/>
        <w:ind w:left="288"/>
      </w:pPr>
      <w:r>
        <w:t>https://dmdi.my/sekretariat-latar-belakang/</w:t>
      </w:r>
    </w:p>
    <w:p>
      <w:r>
        <w:rPr>
          <w:b/>
          <w:color w:val="1F4E79"/>
        </w:rPr>
        <w:t>SME Corp Malaysia — Kerjasama SME Corp-DMDI</w:t>
      </w:r>
    </w:p>
    <w:p>
      <w:pPr>
        <w:ind w:left="288"/>
      </w:pPr>
      <w:r>
        <w:t>Rekod kerjasama strategik bagi memperkasa keusahawanan dan PMKS serta akses pasaran.</w:t>
      </w:r>
    </w:p>
    <w:p>
      <w:pPr>
        <w:pStyle w:val="SmallNote"/>
        <w:ind w:left="288"/>
      </w:pPr>
      <w:r>
        <w:t>https://smecorp.gov.my/index.php/my/news/4720-kerjasama-sme-corp-dmdi-bantu-usahawan-pmks-tembusi-pasaran-arab-saudi</w:t>
      </w:r>
    </w:p>
    <w:p>
      <w:pPr>
        <w:pStyle w:val="Heading1"/>
      </w:pPr>
      <w:r>
        <w:t>Lampiran B — Prinsip Reka Bentuk Program</w:t>
      </w:r>
    </w:p>
    <w:p>
      <w:pPr>
        <w:pStyle w:val="ListBullet"/>
        <w:spacing w:after="60"/>
      </w:pPr>
      <w:r>
        <w:t>Business first, technology second.</w:t>
      </w:r>
    </w:p>
    <w:p>
      <w:pPr>
        <w:pStyle w:val="ListBullet"/>
        <w:spacing w:after="60"/>
      </w:pPr>
      <w:r>
        <w:t>Build before automate; structure data before deploying agents.</w:t>
      </w:r>
    </w:p>
    <w:p>
      <w:pPr>
        <w:pStyle w:val="ListBullet"/>
        <w:spacing w:after="60"/>
      </w:pPr>
      <w:r>
        <w:t>AI digunakan hanya apabila memberi nilai yang jelas.</w:t>
      </w:r>
    </w:p>
    <w:p>
      <w:pPr>
        <w:pStyle w:val="ListBullet"/>
        <w:spacing w:after="60"/>
      </w:pPr>
      <w:r>
        <w:t>Setiap SME mengekalkan ownership terhadap data dan keputusan perniagaan sendiri.</w:t>
      </w:r>
    </w:p>
    <w:p>
      <w:pPr>
        <w:pStyle w:val="ListBullet"/>
        <w:spacing w:after="60"/>
      </w:pPr>
      <w:r>
        <w:t>Human approval untuk keputusan atau tindakan berimpak tinggi.</w:t>
      </w:r>
    </w:p>
    <w:p>
      <w:pPr>
        <w:pStyle w:val="ListBullet"/>
        <w:spacing w:after="60"/>
      </w:pPr>
      <w:r>
        <w:t>Pilot kecil, ukur, perbaiki, kemudian scale.</w:t>
      </w:r>
    </w:p>
    <w:p>
      <w:pPr>
        <w:pStyle w:val="Heading1"/>
      </w:pPr>
      <w:r>
        <w:t>Lampiran C — Cadangan Struktur Sesi Discovery</w:t>
      </w:r>
    </w:p>
    <w:p>
      <w:pPr>
        <w:pStyle w:val="ListNumber"/>
        <w:spacing w:after="60"/>
      </w:pPr>
      <w:r>
        <w:t>Visi pengurusan DMDI untuk pembangunan SME 12–24 bulan.</w:t>
      </w:r>
    </w:p>
    <w:p>
      <w:pPr>
        <w:pStyle w:val="ListNumber"/>
        <w:spacing w:after="60"/>
      </w:pPr>
      <w:r>
        <w:t>Profil dan segmentation SME sasaran.</w:t>
      </w:r>
    </w:p>
    <w:p>
      <w:pPr>
        <w:pStyle w:val="ListNumber"/>
        <w:spacing w:after="60"/>
      </w:pPr>
      <w:r>
        <w:t>Program sedia ada, pain points dan outcome yang DMDI mahu ukur.</w:t>
      </w:r>
    </w:p>
    <w:p>
      <w:pPr>
        <w:pStyle w:val="ListNumber"/>
        <w:spacing w:after="60"/>
      </w:pPr>
      <w:r>
        <w:t>Data yang DMDI sudah miliki dan sistem yang sedang digunakan.</w:t>
      </w:r>
    </w:p>
    <w:p>
      <w:pPr>
        <w:pStyle w:val="ListNumber"/>
        <w:spacing w:after="60"/>
      </w:pPr>
      <w:r>
        <w:t>Keperluan Command Centre dan tahap visibility management.</w:t>
      </w:r>
    </w:p>
    <w:p>
      <w:pPr>
        <w:pStyle w:val="ListNumber"/>
        <w:spacing w:after="60"/>
      </w:pPr>
      <w:r>
        <w:t>Hosting, security, privacy dan governance requirements.</w:t>
      </w:r>
    </w:p>
    <w:p>
      <w:pPr>
        <w:pStyle w:val="ListNumber"/>
        <w:spacing w:after="60"/>
      </w:pPr>
      <w:r>
        <w:t>Pemilihan use case Agentic AI yang paling bernilai untuk pilot.</w:t>
      </w:r>
    </w:p>
    <w:p>
      <w:pPr>
        <w:pStyle w:val="ListNumber"/>
        <w:spacing w:after="60"/>
      </w:pPr>
      <w:r>
        <w:t>Commercial model, support model dan scale roadmap.</w:t>
      </w:r>
    </w:p>
    <w:sectPr w:rsidR="00FC693F" w:rsidRPr="0006063C" w:rsidSect="00034616">
      <w:headerReference w:type="default" r:id="rId9"/>
      <w:footerReference w:type="default" r:id="rId10"/>
      <w:pgSz w:w="12240" w:h="15840"/>
      <w:pgMar w:top="1008"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6"/>
      </w:rPr>
      <w:t>CADANGAN UNTUK PERTIMBANGAN PENGURUSAN TERTINGGI DMDI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66666"/>
        <w:sz w:val="16"/>
      </w:rPr>
      <w:t>DMDI × AINNA | SME Digital Transformation &amp; Agentic AI Programme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17365D"/>
      <w:sz w:val="34"/>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Display" w:hAnsi="Aptos Display"/>
      <w:b/>
      <w:bCs/>
      <w:color w:val="1F4E79"/>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ptos Display" w:hAnsi="Aptos Display"/>
      <w:b/>
      <w:bCs/>
      <w:color w:val="C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00"/>
      <w:contextualSpacing/>
    </w:pPr>
    <w:rPr>
      <w:rFonts w:asciiTheme="majorHAnsi" w:eastAsiaTheme="majorEastAsia" w:hAnsiTheme="majorHAnsi" w:cstheme="majorBidi" w:ascii="Aptos Display" w:hAnsi="Aptos Display"/>
      <w:b/>
      <w:color w:val="17365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ptos" w:hAnsi="Aptos"/>
      <w:color w:val="666666"/>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DMDI SME Digital Transformation &amp; Agentic AI Programme</dc:title>
  <dc:subject>Cadangan kerjasama strategik DMDI × AINNA</dc:subject>
  <dc:creator>AINNA</dc:creator>
  <cp:keywords/>
  <dc:description>generated by python-docx</dc:description>
  <cp:lastModifiedBy/>
  <cp:revision>1</cp:revision>
  <dcterms:created xsi:type="dcterms:W3CDTF">2013-12-23T23:15:00Z</dcterms:created>
  <dcterms:modified xsi:type="dcterms:W3CDTF">2013-12-23T23:15:00Z</dcterms:modified>
  <cp:category/>
</cp:coreProperties>
</file>