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5B3215"/>
          <w:sz w:val="44"/>
        </w:rPr>
        <w:t>RINGKASAN EKSEKUTIF</w:t>
      </w:r>
    </w:p>
    <w:p>
      <w:pPr>
        <w:jc w:val="center"/>
      </w:pPr>
      <w:r>
        <w:rPr>
          <w:b/>
          <w:color w:val="EFA20A"/>
          <w:sz w:val="28"/>
        </w:rPr>
        <w:t>DMDI SME Digital Transformation &amp; Agentic AI Programme</w:t>
      </w:r>
    </w:p>
    <w:p>
      <w:pPr>
        <w:pBdr>
          <w:bottom w:val="single" w:sz="18" w:color="EFA20A"/>
        </w:pBdr>
      </w:pPr>
    </w:p>
    <w:p>
      <w:pPr>
        <w:jc w:val="both"/>
      </w:pPr>
      <w:r>
        <w:t>Cadangan DMDI SME Digital Transformation &amp; Agentic AI Programme merupakan kerjasama strategik antara Dunia Melayu Dunia Islam (DMDI) dan AINNA bagi mempercepat transformasi digital perusahaan mikro, kecil dan sederhana (PMKS/SME) melalui pendekatan yang menggabungkan latihan, pembangunan sistem sebenar, pendigitalan operasi, pengurusan kewangan, automasi dan Agentic AI.</w:t>
      </w:r>
    </w:p>
    <w:p>
      <w:pPr>
        <w:jc w:val="both"/>
      </w:pPr>
      <w:r>
        <w:t>Program ini menggunakan pendekatan Learn → Build → Deploy → Operate. Berbeza daripada latihan konvensional yang berakhir pada pemindahan ilmu, peserta akan dibimbing menggunakan perniagaan dan proses sebenar mereka untuk membangunkan infrastruktur digital yang boleh terus digunakan selepas program. Komponen yang dicadangkan merangkumi website, e-commerce, business dashboard, sistem operasi perniagaan, pengurusan kewangan, automasi dan specialised AI agents.</w:t>
      </w:r>
    </w:p>
    <w:p>
      <w:pPr>
        <w:jc w:val="both"/>
      </w:pPr>
      <w:r>
        <w:t>Pelaksanaan awal dicadangkan melalui pilot cohort seramai 10 hingga 20 SME dengan program 10 hari yang dibahagikan kepada tiga tahap: Digital Foundation selama 3 hari, Business Digitalisation selama 3 hari, dan AI Business Transformation selama 4 hari. Struktur modular ini membolehkan peserta bergerak secara progresif daripada asas digital kepada sistem perniagaan yang lebih tersusun dan seterusnya kepada penggunaan AI yang praktikal.</w:t>
      </w:r>
    </w:p>
    <w:p>
      <w:pPr>
        <w:jc w:val="both"/>
      </w:pPr>
      <w:r>
        <w:t>Transformasi ini turut melibatkan DMDI sebagai pemilik program dan penggerak ekosistem. Cadangan pembangunan DMDI SME Command Centre akan memberi pengurusan visibility terhadap profil peserta, kemajuan program, tahap digitalisasi, penggunaan sistem, KPI dan keperluan intervensi. Apabila data dan governance telah matang, Executive AI Agent boleh digunakan untuk membantu menyediakan ringkasan pengurusan, laporan program dan business intelligence berdasarkan data yang dibenarkan.</w:t>
      </w:r>
    </w:p>
    <w:p>
      <w:pPr>
        <w:jc w:val="both"/>
      </w:pPr>
      <w:r>
        <w:t>AINNA NeuralOps dicadangkan sebagai orchestration layer yang menghubungkan business systems, automasi dan specialised AI agents. Pendekatan ini mengekalkan prinsip data isolation, role-based access, human approval dan audit trail supaya AI berfungsi sebagai lapisan intelligence yang terkawal, bukannya menggantikan keputusan manusia.</w:t>
      </w:r>
    </w:p>
    <w:p>
      <w:pPr>
        <w:jc w:val="both"/>
      </w:pPr>
      <w:r>
        <w:t>Sebagai demonstrasi kepada konsep transformasi, platform juga boleh menyediakan e-commerce environment yang membolehkan SME melihat bagaimana katalog produk, checkout, payment gateway dan shipping integration boleh disepadukan dalam satu business infrastructure. Pendekatan ini membantu peserta memahami AI dan digitalisation melalui sistem yang benar-benar menyerupai operasi perniagaan.</w:t>
      </w:r>
    </w:p>
    <w:p>
      <w:pPr>
        <w:jc w:val="both"/>
      </w:pPr>
      <w:r>
        <w:t>Matlamat akhirnya bukan sekadar melatih SME menggunakan teknologi atau AI. Program ini bertujuan membantu SME memiliki digital infrastructure, data yang lebih tersusun, financial visibility, automation capability dan asas Agentic AI mereka sendiri, sambil menyediakan DMDI dengan satu model pembangunan usahawan yang lebih measurable, scalable dan bersedia untuk dikembangkan secara berfasa.</w:t>
      </w:r>
    </w:p>
    <w:p>
      <w:pPr>
        <w:spacing w:before="240"/>
      </w:pPr>
      <w:r>
        <w:rPr>
          <w:b/>
          <w:color w:val="C00000"/>
          <w:sz w:val="26"/>
        </w:rPr>
        <w:t>TRAINING IS THE BEGINNING — NOT THE DELIVERABLE.</w:t>
      </w:r>
    </w:p>
    <w:p>
      <w:r>
        <w:rPr>
          <w:b/>
          <w:color w:val="5B3215"/>
          <w:sz w:val="23"/>
        </w:rPr>
        <w:t>Hasil yang disasarkan ialah sebuah perniagaan digital yang berfungsi dan bersedia menggunakan AI secara terkawal.</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