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left"/>
      </w:pPr>
      <w:r>
        <w:rPr>
          <w:rFonts w:ascii="Calibri" w:hAnsi="Calibri" w:eastAsia="Calibri"/>
          <w:b/>
          <w:i w:val="0"/>
          <w:color w:val="C99A2E"/>
          <w:sz w:val="18"/>
        </w:rPr>
        <w:t>PROPOSED CONSORTIUM  |  AINNA × MIGHT × TAFE JD × PCG EDGE × KSA</w:t>
      </w:r>
    </w:p>
    <w:p>
      <w:pPr>
        <w:spacing w:before="0" w:after="20"/>
      </w:pPr>
      <w:r>
        <w:rPr>
          <w:rFonts w:ascii="Calibri" w:hAnsi="Calibri"/>
          <w:b/>
          <w:i w:val="0"/>
          <w:color w:val="102A43"/>
          <w:sz w:val="46"/>
        </w:rPr>
        <w:t>EXECUTIVE SUMMARY</w:t>
      </w:r>
    </w:p>
    <w:p>
      <w:pPr>
        <w:spacing w:before="0" w:after="140"/>
      </w:pPr>
      <w:r>
        <w:rPr>
          <w:rFonts w:ascii="Calibri" w:hAnsi="Calibri"/>
          <w:b/>
          <w:i w:val="0"/>
          <w:color w:val="66788A"/>
          <w:sz w:val="23"/>
        </w:rPr>
        <w:t>Strategic NeuralOps Development, Localisation and Scaling in Saudi Arabia</w:t>
      </w:r>
    </w:p>
    <w:p>
      <w:pPr>
        <w:spacing w:before="0" w:after="140" w:line="240" w:lineRule="auto"/>
        <w:ind w:left="173" w:right="173"/>
        <w:shd w:fill="FFF8E8"/>
        <w:pBdr>
          <w:left w:val="single" w:sz="18" w:space="8" w:color="C99A2E"/>
        </w:pBdr>
      </w:pPr>
      <w:r>
        <w:rPr>
          <w:rFonts w:ascii="Calibri" w:hAnsi="Calibri" w:eastAsia="Calibri"/>
          <w:b/>
          <w:i w:val="0"/>
          <w:color w:val="C99A2E"/>
          <w:sz w:val="18"/>
        </w:rPr>
        <w:t xml:space="preserve">CORE PROPOSITION  </w:t>
      </w:r>
      <w:r>
        <w:rPr>
          <w:rFonts w:ascii="Calibri" w:hAnsi="Calibri" w:eastAsia="Calibri"/>
          <w:b/>
          <w:i w:val="0"/>
          <w:color w:val="102A43"/>
          <w:sz w:val="18"/>
        </w:rPr>
        <w:t>MIGHT provides strategic leverage. TAFE JD provides Saudi market entry, localisation and execution. PCG Edge provides investment and commercial structuring. Saudi Arabia provides infrastructure and scaling leverage. AINNA provides NeuralOps technology and technical execution.</w:t>
      </w:r>
    </w:p>
    <w:p>
      <w:pPr>
        <w:pStyle w:val="Heading1"/>
        <w:spacing w:before="100" w:after="50"/>
      </w:pPr>
      <w:r>
        <w:t>Purpose and Strategic Rationale</w:t>
      </w:r>
    </w:p>
    <w:p>
      <w:pPr>
        <w:spacing w:after="80" w:line="250" w:lineRule="auto"/>
      </w:pPr>
      <w:r>
        <w:rPr>
          <w:rFonts w:ascii="Calibri" w:hAnsi="Calibri" w:eastAsia="Calibri"/>
          <w:b w:val="0"/>
          <w:i w:val="0"/>
          <w:color w:val="243B53"/>
          <w:sz w:val="19"/>
        </w:rPr>
        <w:t>AINNA seeks MIGHT's support to establish Saudi Arabia as a NeuralOps Development, Infrastructure and Scaling Hub - not merely a market or test environment. The proposed consortium combines MIGHT's institutional and strategic facilitation, TAFE JD's Saudi market-entry and localisation capability, PCG Edge's investment and commercial structuring perspective, Saudi Arabia's cloud, data-centre, compute, Arabic AI and industry ecosystem, and AINNA's NeuralOps technology and technical execution. Together, these capabilities create a structured pathway to build, localise, deploy and scale a secure, measurable and multi-industry AI optimisation architecture.</w:t>
      </w:r>
    </w:p>
    <w:p>
      <w:pPr>
        <w:pStyle w:val="Heading1"/>
        <w:spacing w:before="100" w:after="50"/>
      </w:pPr>
      <w:r>
        <w:t>Strategic Contribution</w:t>
      </w:r>
    </w:p>
    <w:tbl>
      <w:tblPr>
        <w:tblW w:type="auto" w:w="0"/>
        <w:jc w:val="center"/>
        <w:tblLayout w:type="fixed"/>
        <w:tblLook w:firstColumn="1" w:firstRow="1" w:lastColumn="0" w:lastRow="0" w:noHBand="0" w:noVBand="1" w:val="04A0"/>
      </w:tblPr>
      <w:tblGrid>
        <w:gridCol w:w="1901"/>
        <w:gridCol w:w="7459"/>
      </w:tblGrid>
      <w:tr>
        <w:tc>
          <w:tcPr>
            <w:tcW w:type="dxa" w:w="1901"/>
            <w:vAlign w:val="center"/>
            <w:shd w:fill="102A43"/>
            <w:tcMar>
              <w:top w:w="55" w:type="dxa"/>
              <w:start w:w="80" w:type="dxa"/>
              <w:bottom w:w="55" w:type="dxa"/>
              <w:end w:w="80" w:type="dxa"/>
            </w:tcMar>
          </w:tcPr>
          <w:p>
            <w:pPr>
              <w:spacing w:after="0"/>
              <w:jc w:val="center"/>
            </w:pPr>
            <w:r>
              <w:rPr>
                <w:rFonts w:ascii="Calibri" w:hAnsi="Calibri" w:eastAsia="Calibri"/>
                <w:b/>
                <w:i w:val="0"/>
                <w:color w:val="FFFFFF"/>
                <w:sz w:val="16"/>
              </w:rPr>
              <w:t>CONSORTIUM PARTY</w:t>
            </w:r>
          </w:p>
        </w:tc>
        <w:tc>
          <w:tcPr>
            <w:tcW w:type="dxa" w:w="7459"/>
            <w:vAlign w:val="center"/>
            <w:shd w:fill="102A43"/>
            <w:tcMar>
              <w:top w:w="55" w:type="dxa"/>
              <w:start w:w="80" w:type="dxa"/>
              <w:bottom w:w="55" w:type="dxa"/>
              <w:end w:w="80" w:type="dxa"/>
            </w:tcMar>
          </w:tcPr>
          <w:p>
            <w:pPr>
              <w:spacing w:after="0"/>
              <w:jc w:val="center"/>
            </w:pPr>
            <w:r>
              <w:rPr>
                <w:rFonts w:ascii="Calibri" w:hAnsi="Calibri" w:eastAsia="Calibri"/>
                <w:b/>
                <w:i w:val="0"/>
                <w:color w:val="FFFFFF"/>
                <w:sz w:val="16"/>
              </w:rPr>
              <w:t>PRIMARY ROLE &amp; STRATEGIC VALUE</w:t>
            </w:r>
          </w:p>
        </w:tc>
      </w:tr>
      <w:tr>
        <w:tc>
          <w:tcPr>
            <w:tcW w:type="dxa" w:w="1901"/>
            <w:shd w:fill="EEF4F8"/>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jc w:val="center"/>
            </w:pPr>
            <w:r>
              <w:rPr>
                <w:rFonts w:ascii="Calibri" w:hAnsi="Calibri" w:eastAsia="Calibri"/>
                <w:b/>
                <w:i w:val="0"/>
                <w:color w:val="102A43"/>
                <w:sz w:val="16"/>
              </w:rPr>
              <w:t>MIGHT</w:t>
            </w:r>
          </w:p>
        </w:tc>
        <w:tc>
          <w:tcPr>
            <w:tcW w:type="dxa" w:w="7459"/>
            <w:shd w:fill="EEF4F8"/>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line="240" w:lineRule="auto"/>
            </w:pPr>
            <w:r>
              <w:rPr>
                <w:rFonts w:ascii="Calibri" w:hAnsi="Calibri" w:eastAsia="Calibri"/>
                <w:b/>
                <w:i w:val="0"/>
                <w:color w:val="2E74B5"/>
                <w:sz w:val="16"/>
              </w:rPr>
              <w:t xml:space="preserve">Strategic &amp; institutional leverage  </w:t>
            </w:r>
            <w:r>
              <w:rPr>
                <w:rFonts w:ascii="Calibri" w:hAnsi="Calibri" w:eastAsia="Calibri"/>
                <w:b w:val="0"/>
                <w:i w:val="0"/>
                <w:color w:val="243B53"/>
                <w:sz w:val="16"/>
              </w:rPr>
              <w:t>Positioning, Malaysia-Saudi stakeholder access, programme structuring, validation networks and commercialisation pathways.</w:t>
            </w:r>
          </w:p>
        </w:tc>
      </w:tr>
      <w:tr>
        <w:tc>
          <w:tcPr>
            <w:tcW w:type="dxa" w:w="1901"/>
            <w:shd w:fill="F7F9FB"/>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jc w:val="center"/>
            </w:pPr>
            <w:r>
              <w:rPr>
                <w:rFonts w:ascii="Calibri" w:hAnsi="Calibri" w:eastAsia="Calibri"/>
                <w:b/>
                <w:i w:val="0"/>
                <w:color w:val="102A43"/>
                <w:sz w:val="16"/>
              </w:rPr>
              <w:t>TAFE JD</w:t>
            </w:r>
          </w:p>
        </w:tc>
        <w:tc>
          <w:tcPr>
            <w:tcW w:type="dxa" w:w="7459"/>
            <w:shd w:fill="F7F9FB"/>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line="240" w:lineRule="auto"/>
            </w:pPr>
            <w:r>
              <w:rPr>
                <w:rFonts w:ascii="Calibri" w:hAnsi="Calibri" w:eastAsia="Calibri"/>
                <w:b/>
                <w:i w:val="0"/>
                <w:color w:val="2E74B5"/>
                <w:sz w:val="16"/>
              </w:rPr>
              <w:t xml:space="preserve">Saudi market entry, localisation &amp; execution  </w:t>
            </w:r>
            <w:r>
              <w:rPr>
                <w:rFonts w:ascii="Calibri" w:hAnsi="Calibri" w:eastAsia="Calibri"/>
                <w:b w:val="0"/>
                <w:i w:val="0"/>
                <w:color w:val="243B53"/>
                <w:sz w:val="16"/>
              </w:rPr>
              <w:t>Regulatory navigation, local coordination, PMO, technology transfer, industrial localisation and strategic market expansion.</w:t>
            </w:r>
          </w:p>
        </w:tc>
      </w:tr>
      <w:tr>
        <w:tc>
          <w:tcPr>
            <w:tcW w:type="dxa" w:w="1901"/>
            <w:shd w:fill="EEF4F8"/>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jc w:val="center"/>
            </w:pPr>
            <w:r>
              <w:rPr>
                <w:rFonts w:ascii="Calibri" w:hAnsi="Calibri" w:eastAsia="Calibri"/>
                <w:b/>
                <w:i w:val="0"/>
                <w:color w:val="102A43"/>
                <w:sz w:val="16"/>
              </w:rPr>
              <w:t>PCG EDGE</w:t>
            </w:r>
          </w:p>
        </w:tc>
        <w:tc>
          <w:tcPr>
            <w:tcW w:type="dxa" w:w="7459"/>
            <w:shd w:fill="EEF4F8"/>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line="240" w:lineRule="auto"/>
            </w:pPr>
            <w:r>
              <w:rPr>
                <w:rFonts w:ascii="Calibri" w:hAnsi="Calibri" w:eastAsia="Calibri"/>
                <w:b/>
                <w:i w:val="0"/>
                <w:color w:val="2E74B5"/>
                <w:sz w:val="16"/>
              </w:rPr>
              <w:t xml:space="preserve">Investment &amp; commercial structuring  </w:t>
            </w:r>
            <w:r>
              <w:rPr>
                <w:rFonts w:ascii="Calibri" w:hAnsi="Calibri" w:eastAsia="Calibri"/>
                <w:b w:val="0"/>
                <w:i w:val="0"/>
                <w:color w:val="243B53"/>
                <w:sz w:val="16"/>
              </w:rPr>
              <w:t>Investment readiness, deal evaluation, due diligence, capital pathways, commercial structuring and strategic scaling.</w:t>
            </w:r>
          </w:p>
        </w:tc>
      </w:tr>
      <w:tr>
        <w:tc>
          <w:tcPr>
            <w:tcW w:type="dxa" w:w="1901"/>
            <w:shd w:fill="F7F9FB"/>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jc w:val="center"/>
            </w:pPr>
            <w:r>
              <w:rPr>
                <w:rFonts w:ascii="Calibri" w:hAnsi="Calibri" w:eastAsia="Calibri"/>
                <w:b/>
                <w:i w:val="0"/>
                <w:color w:val="102A43"/>
                <w:sz w:val="16"/>
              </w:rPr>
              <w:t>SAUDI ARABIA</w:t>
            </w:r>
          </w:p>
        </w:tc>
        <w:tc>
          <w:tcPr>
            <w:tcW w:type="dxa" w:w="7459"/>
            <w:shd w:fill="F7F9FB"/>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line="240" w:lineRule="auto"/>
            </w:pPr>
            <w:r>
              <w:rPr>
                <w:rFonts w:ascii="Calibri" w:hAnsi="Calibri" w:eastAsia="Calibri"/>
                <w:b/>
                <w:i w:val="0"/>
                <w:color w:val="2E74B5"/>
                <w:sz w:val="16"/>
              </w:rPr>
              <w:t xml:space="preserve">Infrastructure &amp; scaling leverage  </w:t>
            </w:r>
            <w:r>
              <w:rPr>
                <w:rFonts w:ascii="Calibri" w:hAnsi="Calibri" w:eastAsia="Calibri"/>
                <w:b w:val="0"/>
                <w:i w:val="0"/>
                <w:color w:val="243B53"/>
                <w:sz w:val="16"/>
              </w:rPr>
              <w:t>Compute, cloud, data centres, Arabic/local AI, sector hosts, energy capacity, talent, capital ecosystem and GCC market access.</w:t>
            </w:r>
          </w:p>
        </w:tc>
      </w:tr>
      <w:tr>
        <w:tc>
          <w:tcPr>
            <w:tcW w:type="dxa" w:w="1901"/>
            <w:shd w:fill="EEF4F8"/>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jc w:val="center"/>
            </w:pPr>
            <w:r>
              <w:rPr>
                <w:rFonts w:ascii="Calibri" w:hAnsi="Calibri" w:eastAsia="Calibri"/>
                <w:b/>
                <w:i w:val="0"/>
                <w:color w:val="102A43"/>
                <w:sz w:val="16"/>
              </w:rPr>
              <w:t>AINNA</w:t>
            </w:r>
          </w:p>
        </w:tc>
        <w:tc>
          <w:tcPr>
            <w:tcW w:type="dxa" w:w="7459"/>
            <w:shd w:fill="EEF4F8"/>
            <w:tcMar>
              <w:top w:w="45" w:type="dxa"/>
              <w:start w:w="75" w:type="dxa"/>
              <w:bottom w:w="45" w:type="dxa"/>
              <w:end w:w="75" w:type="dxa"/>
            </w:tcMar>
            <w:vAlign w:val="center"/>
            <w:tcBorders>
              <w:top w:val="single" w:sz="4" w:color="D4E0E8"/>
              <w:start w:val="single" w:sz="4" w:color="D4E0E8"/>
              <w:bottom w:val="single" w:sz="4" w:color="D4E0E8"/>
              <w:end w:val="single" w:sz="4" w:color="D4E0E8"/>
            </w:tcBorders>
          </w:tcPr>
          <w:p>
            <w:pPr>
              <w:spacing w:after="0" w:line="240" w:lineRule="auto"/>
            </w:pPr>
            <w:r>
              <w:rPr>
                <w:rFonts w:ascii="Calibri" w:hAnsi="Calibri" w:eastAsia="Calibri"/>
                <w:b/>
                <w:i w:val="0"/>
                <w:color w:val="2E74B5"/>
                <w:sz w:val="16"/>
              </w:rPr>
              <w:t xml:space="preserve">NeuralOps technology &amp; technical execution  </w:t>
            </w:r>
            <w:r>
              <w:rPr>
                <w:rFonts w:ascii="Calibri" w:hAnsi="Calibri" w:eastAsia="Calibri"/>
                <w:b w:val="0"/>
                <w:i w:val="0"/>
                <w:color w:val="243B53"/>
                <w:sz w:val="16"/>
              </w:rPr>
              <w:t>NeuralOps IP and architecture, AI agents, smart routing, parsers, detached systems, integration, validation, observability and implementation.</w:t>
            </w:r>
          </w:p>
        </w:tc>
      </w:tr>
    </w:tbl>
    <w:p>
      <w:pPr>
        <w:pStyle w:val="Heading1"/>
        <w:spacing w:before="100" w:after="50"/>
      </w:pPr>
      <w:r>
        <w:t>NeuralOps Value and Industry Reach</w:t>
      </w:r>
    </w:p>
    <w:p>
      <w:pPr>
        <w:numPr>
          <w:ilvl w:val="0"/>
          <w:numId w:val="10"/>
        </w:numPr>
        <w:spacing w:before="0" w:after="50" w:line="247" w:lineRule="auto"/>
      </w:pPr>
      <w:r>
        <w:rPr>
          <w:rFonts w:ascii="Calibri" w:hAnsi="Calibri"/>
          <w:b/>
          <w:i w:val="0"/>
          <w:color w:val="102A43"/>
          <w:sz w:val="19"/>
        </w:rPr>
        <w:t xml:space="preserve">More reliable AI: </w:t>
      </w:r>
      <w:r>
        <w:rPr>
          <w:rFonts w:ascii="Calibri" w:hAnsi="Calibri"/>
          <w:b w:val="0"/>
          <w:i w:val="0"/>
          <w:color w:val="243B53"/>
          <w:sz w:val="19"/>
        </w:rPr>
        <w:t>routes tasks to rules, parsers, validation systems, SLMs, specialist models, LLMs, local Arabic models or human verification according to need, reducing avoidable hallucination exposure.</w:t>
      </w:r>
    </w:p>
    <w:p>
      <w:pPr>
        <w:numPr>
          <w:ilvl w:val="0"/>
          <w:numId w:val="10"/>
        </w:numPr>
        <w:spacing w:before="0" w:after="50" w:line="247" w:lineRule="auto"/>
      </w:pPr>
      <w:r>
        <w:rPr>
          <w:rFonts w:ascii="Calibri" w:hAnsi="Calibri"/>
          <w:b/>
          <w:i w:val="0"/>
          <w:color w:val="102A43"/>
          <w:sz w:val="19"/>
        </w:rPr>
        <w:t xml:space="preserve">Higher resource efficiency: </w:t>
      </w:r>
      <w:r>
        <w:rPr>
          <w:rFonts w:ascii="Calibri" w:hAnsi="Calibri"/>
          <w:b w:val="0"/>
          <w:i w:val="0"/>
          <w:color w:val="243B53"/>
          <w:sz w:val="19"/>
        </w:rPr>
        <w:t>reduces unnecessary token and compute consumption and optimises infrastructure, power and operating cost against agreed, measurable baselines.</w:t>
      </w:r>
    </w:p>
    <w:p>
      <w:pPr>
        <w:numPr>
          <w:ilvl w:val="0"/>
          <w:numId w:val="10"/>
        </w:numPr>
        <w:spacing w:before="0" w:after="50" w:line="247" w:lineRule="auto"/>
      </w:pPr>
      <w:r>
        <w:rPr>
          <w:rFonts w:ascii="Calibri" w:hAnsi="Calibri"/>
          <w:b/>
          <w:i w:val="0"/>
          <w:color w:val="102A43"/>
          <w:sz w:val="19"/>
        </w:rPr>
        <w:t xml:space="preserve">Reusable across sectors: </w:t>
      </w:r>
      <w:r>
        <w:rPr>
          <w:rFonts w:ascii="Calibri" w:hAnsi="Calibri"/>
          <w:b w:val="0"/>
          <w:i w:val="0"/>
          <w:color w:val="243B53"/>
          <w:sz w:val="19"/>
        </w:rPr>
        <w:t>supports government, finance, energy, manufacturing, logistics, smart cities, agriculture, retail and tourism, healthcare, education and SMEs.</w:t>
      </w:r>
    </w:p>
    <w:p>
      <w:pPr>
        <w:pStyle w:val="Heading1"/>
        <w:spacing w:before="100" w:after="50"/>
      </w:pPr>
      <w:r>
        <w:t>Proposed Programme and Decision Requested</w:t>
      </w:r>
    </w:p>
    <w:p>
      <w:pPr>
        <w:spacing w:after="50" w:line="247" w:lineRule="auto"/>
      </w:pPr>
      <w:r>
        <w:rPr>
          <w:rFonts w:ascii="Calibri" w:hAnsi="Calibri" w:eastAsia="Calibri"/>
          <w:b w:val="0"/>
          <w:i w:val="0"/>
          <w:color w:val="243B53"/>
          <w:sz w:val="19"/>
        </w:rPr>
        <w:t>AINNA proposes an indicative 18-month Saudi NeuralOps Development Programme under the proposed consortium framework, covering core platform development, Arabic and local-model integration, secure deployment, efficiency telemetry, sector-specific solutions, local capability building, investment and commercial structuring, and an agreed IP/commercial framework.</w:t>
      </w:r>
    </w:p>
    <w:p>
      <w:pPr>
        <w:spacing w:before="20" w:after="60" w:line="240" w:lineRule="auto"/>
        <w:ind w:left="173" w:right="173"/>
        <w:shd w:fill="EEF4F8"/>
        <w:pBdr>
          <w:left w:val="single" w:sz="18" w:space="8" w:color="2E74B5"/>
        </w:pBdr>
      </w:pPr>
      <w:r>
        <w:rPr>
          <w:rFonts w:ascii="Calibri" w:hAnsi="Calibri" w:eastAsia="Calibri"/>
          <w:b/>
          <w:i w:val="0"/>
          <w:color w:val="2E74B5"/>
          <w:sz w:val="18"/>
        </w:rPr>
        <w:t xml:space="preserve">DECISION REQUESTED FROM MIGHT  </w:t>
      </w:r>
      <w:r>
        <w:rPr>
          <w:rFonts w:ascii="Calibri" w:hAnsi="Calibri" w:eastAsia="Calibri"/>
          <w:b/>
          <w:i w:val="0"/>
          <w:color w:val="102A43"/>
          <w:sz w:val="18"/>
        </w:rPr>
        <w:t>Appoint a focal point; convene a strategic scoping workshop; validate the proposed consortium structure; develop a Saudi stakeholder map and facilitate priority introductions; and jointly define the programme, governance, validation and commercial pathway.</w:t>
      </w:r>
    </w:p>
    <w:p>
      <w:pPr>
        <w:spacing w:before="20" w:after="0"/>
        <w:jc w:val="center"/>
      </w:pPr>
      <w:r>
        <w:rPr>
          <w:rFonts w:ascii="Calibri" w:hAnsi="Calibri" w:eastAsia="Calibri"/>
          <w:b/>
          <w:i w:val="0"/>
          <w:color w:val="C99A2E"/>
          <w:sz w:val="17"/>
        </w:rPr>
        <w:t>TARGET OUTCOME  |  Localised NeuralOps • Measurable AI efficiency • Commercial readiness • Multi-industry adoption • Saudi-to-GCC scale</w:t>
      </w:r>
    </w:p>
    <w:p>
      <w:pPr>
        <w:spacing w:before="30" w:after="0"/>
        <w:jc w:val="center"/>
      </w:pPr>
      <w:r>
        <w:rPr>
          <w:rFonts w:ascii="Calibri" w:hAnsi="Calibri" w:eastAsia="Calibri"/>
          <w:b w:val="0"/>
          <w:i/>
          <w:color w:val="66788A"/>
          <w:sz w:val="14"/>
        </w:rPr>
        <w:t>Proposed consortium roles are for strategic discussion and do not constitute binding investment, procurement or partnership commitments.</w:t>
      </w:r>
    </w:p>
    <w:sectPr w:rsidR="00FC693F" w:rsidRPr="0006063C" w:rsidSect="00034616">
      <w:footerReference w:type="default" r:id="rId9"/>
      <w:pgSz w:w="12240" w:h="15840"/>
      <w:pgMar w:top="950" w:right="1123" w:bottom="835" w:left="1123" w:header="504"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eastAsia="Calibri"/>
        <w:b w:val="0"/>
        <w:i w:val="0"/>
        <w:color w:val="66788A"/>
        <w:sz w:val="15"/>
      </w:rPr>
      <w:t>AINNA  |  MIGHT-KSA Strategic Proposal  |  Proposed Consortium Executive Summary  |  September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after="160" w:line="28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9" w:lineRule="auto"/>
    </w:pPr>
    <w:rPr>
      <w:rFonts w:ascii="Calibri" w:hAnsi="Calibri"/>
      <w:color w:val="243B5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70"/>
      <w:outlineLvl w:val="0"/>
    </w:pPr>
    <w:rPr>
      <w:rFonts w:asciiTheme="majorHAnsi" w:eastAsiaTheme="majorEastAsia" w:hAnsiTheme="majorHAnsi" w:cstheme="majorBidi" w:ascii="Calibri" w:hAnsi="Calibri"/>
      <w:b/>
      <w:bCs/>
      <w:color w:val="2E74B5"/>
      <w:sz w:val="27"/>
      <w:szCs w:val="28"/>
    </w:rPr>
  </w:style>
  <w:style w:type="paragraph" w:styleId="Heading2">
    <w:name w:val="heading 2"/>
    <w:basedOn w:val="Normal"/>
    <w:next w:val="Normal"/>
    <w:link w:val="Heading2Char"/>
    <w:uiPriority w:val="9"/>
    <w:unhideWhenUsed/>
    <w:qFormat/>
    <w:rsid w:val="00FC693F"/>
    <w:pPr>
      <w:keepNext/>
      <w:keepLines/>
      <w:spacing w:before="100" w:after="50"/>
      <w:outlineLvl w:val="1"/>
    </w:pPr>
    <w:rPr>
      <w:rFonts w:asciiTheme="majorHAnsi" w:eastAsiaTheme="majorEastAsia" w:hAnsiTheme="majorHAnsi" w:cstheme="majorBidi" w:ascii="Calibri" w:hAnsi="Calibri"/>
      <w:b/>
      <w:bCs/>
      <w:color w:val="102A43"/>
      <w:sz w:val="23"/>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Calibri" w:hAnsi="Calibri"/>
      <w:b/>
      <w:bCs/>
      <w:color w:val="102A4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AINNA × MIGHT × KSA - One-Page Executive Summary</dc:title>
  <dc:subject>Strategic NeuralOps development, localisation and scaling in Saudi Arabia</dc:subject>
  <dc:creator>AINNA</dc:creator>
  <cp:keywords>AINNA, MIGHT, KSA, Saudi Arabia, NeuralOps, AI optimisation</cp:keywords>
  <dc:description>generated by python-docx</dc:description>
  <cp:lastModifiedBy/>
  <cp:revision>1</cp:revision>
  <dcterms:created xsi:type="dcterms:W3CDTF">2013-12-23T23:15:00Z</dcterms:created>
  <dcterms:modified xsi:type="dcterms:W3CDTF">2013-12-23T23:15:00Z</dcterms:modified>
  <cp:category/>
</cp:coreProperties>
</file>