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Lines w:val="0"/>
        <w:spacing w:before="0" w:after="360" w:line="320" w:lineRule="auto"/>
        <w:jc w:val="center"/>
      </w:pPr>
      <w:r>
        <w:rPr>
          <w:rFonts w:ascii="Calibri" w:hAnsi="Calibri"/>
          <w:b/>
          <w:i w:val="0"/>
          <w:color w:val="C69214"/>
          <w:sz w:val="21"/>
        </w:rPr>
        <w:t>STRATEGIC COLLABORATION PROPOSAL</w:t>
      </w:r>
    </w:p>
    <w:p>
      <w:pPr>
        <w:keepLines w:val="0"/>
        <w:spacing w:before="0" w:after="20" w:line="240" w:lineRule="auto"/>
        <w:jc w:val="center"/>
      </w:pPr>
      <w:r>
        <w:rPr>
          <w:rFonts w:ascii="Calibri" w:hAnsi="Calibri"/>
          <w:b/>
          <w:i w:val="0"/>
          <w:color w:val="0B2545"/>
          <w:sz w:val="54"/>
        </w:rPr>
        <w:t>Saudi Arabia as a NeuralOps</w:t>
      </w:r>
    </w:p>
    <w:p>
      <w:pPr>
        <w:keepLines w:val="0"/>
        <w:spacing w:before="0" w:after="200" w:line="240" w:lineRule="auto"/>
        <w:jc w:val="center"/>
      </w:pPr>
      <w:r>
        <w:rPr>
          <w:rFonts w:ascii="Calibri" w:hAnsi="Calibri"/>
          <w:b/>
          <w:i w:val="0"/>
          <w:color w:val="0B2545"/>
          <w:sz w:val="44"/>
        </w:rPr>
        <w:t>Development, Infrastructure &amp; Scaling Hub</w:t>
      </w:r>
    </w:p>
    <w:p>
      <w:pPr>
        <w:keepLines w:val="0"/>
        <w:spacing w:before="0" w:after="560" w:line="320" w:lineRule="auto"/>
        <w:jc w:val="center"/>
      </w:pPr>
      <w:r>
        <w:rPr>
          <w:rFonts w:ascii="Calibri" w:hAnsi="Calibri"/>
          <w:b/>
          <w:i w:val="0"/>
          <w:color w:val="1F4D78"/>
          <w:sz w:val="28"/>
        </w:rPr>
        <w:t>AINNA × MIGHT × Saudi Consortium × Kingdom of Saudi Arabia</w:t>
      </w:r>
    </w:p>
    <w:tbl>
      <w:tblPr>
        <w:tblW w:type="dxa" w:w="9360"/>
        <w:jc w:val="left"/>
        <w:tblLayout w:type="fixed"/>
        <w:tblLook w:firstColumn="1" w:firstRow="1" w:lastColumn="0" w:lastRow="0" w:noHBand="0" w:noVBand="1" w:val="04A0"/>
        <w:tblInd w:w="0"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4680"/>
        <w:gridCol w:w="4680"/>
      </w:tblGrid>
      <w:tr>
        <w:trPr>
          <w:cantSplit w:val="true"/>
        </w:trPr>
        <w:tc>
          <w:tcPr>
            <w:tcW w:type="dxa" w:w="4680"/>
            <w:tcMar>
              <w:top w:w="75" w:type="dxa"/>
              <w:start w:w="50" w:type="dxa"/>
              <w:bottom w:w="75" w:type="dxa"/>
              <w:end w:w="160" w:type="dxa"/>
            </w:tcMar>
            <w:vAlign w:val="center"/>
          </w:tcPr>
          <w:p>
            <w:pPr>
              <w:spacing w:before="0" w:after="0" w:line="259" w:lineRule="auto"/>
              <w:jc w:val="right"/>
            </w:pPr>
            <w:r/>
            <w:r>
              <w:rPr>
                <w:rFonts w:ascii="Calibri" w:hAnsi="Calibri"/>
                <w:b/>
                <w:color w:val="C69214"/>
                <w:sz w:val="17"/>
              </w:rPr>
              <w:t>PREPARED FOR</w:t>
            </w:r>
          </w:p>
        </w:tc>
        <w:tc>
          <w:tcPr>
            <w:tcW w:type="dxa" w:w="4680"/>
            <w:tcMar>
              <w:top w:w="75" w:type="dxa"/>
              <w:start w:w="160" w:type="dxa"/>
              <w:bottom w:w="75" w:type="dxa"/>
              <w:end w:w="50" w:type="dxa"/>
            </w:tcMar>
            <w:vAlign w:val="center"/>
          </w:tcPr>
          <w:p>
            <w:pPr>
              <w:spacing w:before="0" w:after="0" w:line="259" w:lineRule="auto"/>
              <w:jc w:val="left"/>
            </w:pPr>
            <w:r/>
            <w:r>
              <w:rPr>
                <w:rFonts w:ascii="Calibri" w:hAnsi="Calibri"/>
                <w:b/>
                <w:color w:val="0B2545"/>
                <w:sz w:val="19"/>
              </w:rPr>
              <w:t>Malaysian Industry-Government Group for High Technology (MIGHT)</w:t>
            </w:r>
          </w:p>
        </w:tc>
      </w:tr>
      <w:tr>
        <w:trPr>
          <w:cantSplit w:val="true"/>
        </w:trPr>
        <w:tc>
          <w:tcPr>
            <w:tcW w:type="dxa" w:w="4680"/>
            <w:tcMar>
              <w:top w:w="75" w:type="dxa"/>
              <w:start w:w="50" w:type="dxa"/>
              <w:bottom w:w="75" w:type="dxa"/>
              <w:end w:w="160" w:type="dxa"/>
            </w:tcMar>
            <w:vAlign w:val="center"/>
          </w:tcPr>
          <w:p>
            <w:pPr>
              <w:spacing w:before="0" w:after="0" w:line="259" w:lineRule="auto"/>
              <w:jc w:val="right"/>
            </w:pPr>
            <w:r/>
            <w:r>
              <w:rPr>
                <w:rFonts w:ascii="Calibri" w:hAnsi="Calibri"/>
                <w:b/>
                <w:color w:val="C69214"/>
                <w:sz w:val="17"/>
              </w:rPr>
              <w:t>PREPARED BY</w:t>
            </w:r>
          </w:p>
        </w:tc>
        <w:tc>
          <w:tcPr>
            <w:tcW w:type="dxa" w:w="4680"/>
            <w:tcMar>
              <w:top w:w="75" w:type="dxa"/>
              <w:start w:w="160" w:type="dxa"/>
              <w:bottom w:w="75" w:type="dxa"/>
              <w:end w:w="50" w:type="dxa"/>
            </w:tcMar>
            <w:vAlign w:val="center"/>
          </w:tcPr>
          <w:p>
            <w:pPr>
              <w:spacing w:before="0" w:after="0" w:line="259" w:lineRule="auto"/>
              <w:jc w:val="left"/>
            </w:pPr>
            <w:r/>
            <w:r>
              <w:rPr>
                <w:rFonts w:ascii="Calibri" w:hAnsi="Calibri"/>
                <w:b/>
                <w:color w:val="0B2545"/>
                <w:sz w:val="19"/>
              </w:rPr>
              <w:t>AINNA, Malaysia</w:t>
            </w:r>
          </w:p>
        </w:tc>
      </w:tr>
      <w:tr>
        <w:trPr>
          <w:cantSplit w:val="true"/>
        </w:trPr>
        <w:tc>
          <w:tcPr>
            <w:tcW w:type="dxa" w:w="4680"/>
            <w:tcMar>
              <w:top w:w="75" w:type="dxa"/>
              <w:start w:w="50" w:type="dxa"/>
              <w:bottom w:w="75" w:type="dxa"/>
              <w:end w:w="160" w:type="dxa"/>
            </w:tcMar>
            <w:vAlign w:val="center"/>
          </w:tcPr>
          <w:p>
            <w:pPr>
              <w:spacing w:before="0" w:after="0" w:line="259" w:lineRule="auto"/>
              <w:jc w:val="right"/>
            </w:pPr>
            <w:r/>
            <w:r>
              <w:rPr>
                <w:rFonts w:ascii="Calibri" w:hAnsi="Calibri"/>
                <w:b/>
                <w:color w:val="C69214"/>
                <w:sz w:val="17"/>
              </w:rPr>
              <w:t>PROPOSAL FOCUS</w:t>
            </w:r>
          </w:p>
        </w:tc>
        <w:tc>
          <w:tcPr>
            <w:tcW w:type="dxa" w:w="4680"/>
            <w:tcMar>
              <w:top w:w="75" w:type="dxa"/>
              <w:start w:w="160" w:type="dxa"/>
              <w:bottom w:w="75" w:type="dxa"/>
              <w:end w:w="50" w:type="dxa"/>
            </w:tcMar>
            <w:vAlign w:val="center"/>
          </w:tcPr>
          <w:p>
            <w:pPr>
              <w:spacing w:before="0" w:after="0" w:line="259" w:lineRule="auto"/>
              <w:jc w:val="left"/>
            </w:pPr>
            <w:r/>
            <w:r>
              <w:rPr>
                <w:rFonts w:ascii="Calibri" w:hAnsi="Calibri"/>
                <w:b w:val="0"/>
                <w:color w:val="0B2545"/>
                <w:sz w:val="19"/>
              </w:rPr>
              <w:t>NeuralOps development, localisation, deployment and commercial scaling in KSA</w:t>
            </w:r>
          </w:p>
        </w:tc>
      </w:tr>
      <w:tr>
        <w:trPr>
          <w:cantSplit w:val="true"/>
        </w:trPr>
        <w:tc>
          <w:tcPr>
            <w:tcW w:type="dxa" w:w="4680"/>
            <w:tcMar>
              <w:top w:w="75" w:type="dxa"/>
              <w:start w:w="50" w:type="dxa"/>
              <w:bottom w:w="75" w:type="dxa"/>
              <w:end w:w="160" w:type="dxa"/>
            </w:tcMar>
            <w:vAlign w:val="center"/>
          </w:tcPr>
          <w:p>
            <w:pPr>
              <w:spacing w:before="0" w:after="0" w:line="259" w:lineRule="auto"/>
              <w:jc w:val="right"/>
            </w:pPr>
            <w:r/>
            <w:r>
              <w:rPr>
                <w:rFonts w:ascii="Calibri" w:hAnsi="Calibri"/>
                <w:b/>
                <w:color w:val="C69214"/>
                <w:sz w:val="17"/>
              </w:rPr>
              <w:t>DATE / STATUS</w:t>
            </w:r>
          </w:p>
        </w:tc>
        <w:tc>
          <w:tcPr>
            <w:tcW w:type="dxa" w:w="4680"/>
            <w:tcMar>
              <w:top w:w="75" w:type="dxa"/>
              <w:start w:w="160" w:type="dxa"/>
              <w:bottom w:w="75" w:type="dxa"/>
              <w:end w:w="50" w:type="dxa"/>
            </w:tcMar>
            <w:vAlign w:val="center"/>
          </w:tcPr>
          <w:p>
            <w:pPr>
              <w:spacing w:before="0" w:after="0" w:line="259" w:lineRule="auto"/>
              <w:jc w:val="left"/>
            </w:pPr>
            <w:r/>
            <w:r>
              <w:rPr>
                <w:rFonts w:ascii="Calibri" w:hAnsi="Calibri"/>
                <w:b w:val="0"/>
                <w:color w:val="0B2545"/>
                <w:sz w:val="19"/>
              </w:rPr>
              <w:t>September 2026 / Discussion Proposal</w:t>
            </w:r>
          </w:p>
        </w:tc>
      </w:tr>
      <w:tr>
        <w:tc>
          <w:tcPr>
            <w:tcW w:type="dxa" w:w="4680"/>
          </w:tcPr>
          <w:p>
            <w:r>
              <w:t>KEY CONSORTIUM</w:t>
            </w:r>
          </w:p>
        </w:tc>
        <w:tc>
          <w:tcPr>
            <w:tcW w:type="dxa" w:w="4680"/>
          </w:tcPr>
          <w:p>
            <w:r>
              <w:t>AINNA + TAFE JD + PCG Edge (roles and legal structure to be formalised)</w:t>
            </w:r>
          </w:p>
        </w:tc>
      </w:tr>
    </w:tbl>
    <w:p>
      <w:pPr>
        <w:keepLines w:val="0"/>
        <w:spacing w:before="0" w:after="460" w:line="320" w:lineRule="auto"/>
      </w:pPr>
      <w:r>
        <w:rPr>
          <w:rFonts w:ascii="Calibri" w:hAnsi="Calibri"/>
          <w:b w:val="0"/>
          <w:i w:val="0"/>
          <w:color w:val="243447"/>
          <w:sz w:val="4"/>
        </w:rPr>
      </w:r>
    </w:p>
    <w:tbl>
      <w:tblPr>
        <w:tblW w:type="dxa" w:w="9360"/>
        <w:jc w:val="left"/>
        <w:tblLayout w:type="fixed"/>
        <w:tblLook w:firstColumn="1" w:firstRow="1" w:lastColumn="0" w:lastRow="0" w:noHBand="0" w:noVBand="1" w:val="04A0"/>
        <w:tblInd w:w="120" w:type="dxa"/>
        <w:tblBorders>
          <w:top w:val="single" w:sz="8" w:space="0" w:color="D7DEE8"/>
          <w:left w:val="single" w:sz="8" w:space="0" w:color="D7DEE8"/>
          <w:bottom w:val="single" w:sz="8" w:space="0" w:color="D7DEE8"/>
          <w:right w:val="single" w:sz="8" w:space="0" w:color="D7DEE8"/>
          <w:insideH w:val="single" w:sz="8" w:space="0" w:color="D7DEE8"/>
          <w:insideV w:val="single" w:sz="8" w:space="0" w:color="D7DEE8"/>
        </w:tblBorders>
      </w:tblPr>
      <w:tblGrid>
        <w:gridCol w:w="9360"/>
      </w:tblGrid>
      <w:tr>
        <w:trPr>
          <w:cantSplit w:val="true"/>
        </w:trPr>
        <w:tc>
          <w:tcPr>
            <w:tcW w:type="dxa" w:w="9360"/>
            <w:tcMar>
              <w:top w:w="150" w:type="dxa"/>
              <w:start w:w="180" w:type="dxa"/>
              <w:bottom w:w="150" w:type="dxa"/>
              <w:end w:w="180" w:type="dxa"/>
            </w:tcMar>
            <w:vAlign w:val="center"/>
            <w:shd w:fill="FFF8E8"/>
          </w:tcPr>
          <w:p>
            <w:pPr>
              <w:spacing w:before="0" w:after="40" w:line="283" w:lineRule="auto"/>
            </w:pPr>
            <w:r>
              <w:rPr>
                <w:rFonts w:ascii="Calibri" w:hAnsi="Calibri"/>
                <w:b/>
                <w:color w:val="C69214"/>
                <w:sz w:val="19"/>
              </w:rPr>
              <w:t>CORE PROPOSITION  MIGHT provides strategic leverage. TAFE JD provides Saudi market-entry, regulatory, localisation and operating leverage. PCG Edge contributes investment discipline, deal structuring and capital-network leverage. Saudi Arabia provides infrastructure and scaling leverage. AINNA provides NeuralOps technology and execution.</w:t>
            </w:r>
          </w:p>
        </w:tc>
      </w:tr>
    </w:tbl>
    <w:p>
      <w:pPr>
        <w:keepLines w:val="0"/>
        <w:spacing w:before="0" w:after="60" w:line="320" w:lineRule="auto"/>
      </w:pPr>
      <w:r>
        <w:rPr>
          <w:rFonts w:ascii="Calibri" w:hAnsi="Calibri"/>
          <w:b w:val="0"/>
          <w:i w:val="0"/>
          <w:color w:val="243447"/>
          <w:sz w:val="4"/>
        </w:rPr>
      </w:r>
    </w:p>
    <w:p>
      <w:pPr>
        <w:keepLines w:val="0"/>
        <w:spacing w:before="0" w:after="0" w:line="320" w:lineRule="auto"/>
        <w:jc w:val="center"/>
      </w:pPr>
      <w:r>
        <w:rPr>
          <w:rFonts w:ascii="Calibri" w:hAnsi="Calibri"/>
          <w:b w:val="0"/>
          <w:i/>
          <w:color w:val="65758B"/>
          <w:sz w:val="19"/>
        </w:rPr>
        <w:t>This proposal positions Saudi Arabia as a place to build, strengthen, localise and scale NeuralOps - not merely as a test market.</w:t>
      </w:r>
    </w:p>
    <w:p>
      <w:pPr>
        <w:pageBreakBefore/>
        <w:spacing w:before="0" w:after="1120" w:line="240" w:lineRule="auto"/>
      </w:pPr>
      <w:r>
        <w:rPr>
          <w:rFonts w:ascii="Calibri" w:hAnsi="Calibri"/>
          <w:color w:val="FFFFFF"/>
          <w:sz w:val="2"/>
        </w:rPr>
        <w:t xml:space="preserve"> </w:t>
      </w:r>
    </w:p>
    <w:p>
      <w:pPr>
        <w:pStyle w:val="Heading1"/>
        <w:keepNext/>
      </w:pPr>
      <w:r>
        <w:t>Contents</w:t>
      </w:r>
    </w:p>
    <w:tbl>
      <w:tblPr>
        <w:tblW w:type="dxa" w:w="9360"/>
        <w:jc w:val="left"/>
        <w:tblLayout w:type="fixed"/>
        <w:tblLook w:firstColumn="1" w:firstRow="1" w:lastColumn="0" w:lastRow="0" w:noHBand="0" w:noVBand="1" w:val="04A0"/>
        <w:tblInd w:w="0"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600"/>
        <w:gridCol w:w="4050"/>
        <w:gridCol w:w="600"/>
        <w:gridCol w:w="4110"/>
      </w:tblGrid>
      <w:tr>
        <w:trPr>
          <w:cantSplit w:val="true"/>
        </w:trPr>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1</w:t>
            </w:r>
          </w:p>
        </w:tc>
        <w:tc>
          <w:tcPr>
            <w:tcW w:type="dxa" w:w="405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Executive Summary</w:t>
            </w:r>
          </w:p>
        </w:tc>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11</w:t>
            </w:r>
          </w:p>
        </w:tc>
        <w:tc>
          <w:tcPr>
            <w:tcW w:type="dxa" w:w="411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Governance, Security and Responsible AI</w:t>
            </w:r>
          </w:p>
        </w:tc>
      </w:tr>
      <w:tr>
        <w:trPr>
          <w:cantSplit w:val="true"/>
        </w:trPr>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2</w:t>
            </w:r>
          </w:p>
        </w:tc>
        <w:tc>
          <w:tcPr>
            <w:tcW w:type="dxa" w:w="405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Strategic Context</w:t>
            </w:r>
          </w:p>
        </w:tc>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12</w:t>
            </w:r>
          </w:p>
        </w:tc>
        <w:tc>
          <w:tcPr>
            <w:tcW w:type="dxa" w:w="411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Commercialisation and Intellectual Property</w:t>
            </w:r>
          </w:p>
        </w:tc>
      </w:tr>
      <w:tr>
        <w:trPr>
          <w:cantSplit w:val="true"/>
        </w:trPr>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3</w:t>
            </w:r>
          </w:p>
        </w:tc>
        <w:tc>
          <w:tcPr>
            <w:tcW w:type="dxa" w:w="405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AINNA and NeuralOps</w:t>
            </w:r>
          </w:p>
        </w:tc>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13</w:t>
            </w:r>
          </w:p>
        </w:tc>
        <w:tc>
          <w:tcPr>
            <w:tcW w:type="dxa" w:w="411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Indicative Resource and Budget Framework</w:t>
            </w:r>
          </w:p>
        </w:tc>
      </w:tr>
      <w:tr>
        <w:trPr>
          <w:cantSplit w:val="true"/>
        </w:trPr>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4</w:t>
            </w:r>
          </w:p>
        </w:tc>
        <w:tc>
          <w:tcPr>
            <w:tcW w:type="dxa" w:w="405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Partnership Proposition</w:t>
            </w:r>
          </w:p>
        </w:tc>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14</w:t>
            </w:r>
          </w:p>
        </w:tc>
        <w:tc>
          <w:tcPr>
            <w:tcW w:type="dxa" w:w="411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Key Risks and Mitigation</w:t>
            </w:r>
          </w:p>
        </w:tc>
      </w:tr>
      <w:tr>
        <w:trPr>
          <w:cantSplit w:val="true"/>
        </w:trPr>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5</w:t>
            </w:r>
          </w:p>
        </w:tc>
        <w:tc>
          <w:tcPr>
            <w:tcW w:type="dxa" w:w="405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Leverage Requested from MIGHT</w:t>
            </w:r>
          </w:p>
        </w:tc>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15</w:t>
            </w:r>
          </w:p>
        </w:tc>
        <w:tc>
          <w:tcPr>
            <w:tcW w:type="dxa" w:w="411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Expected Strategic Outcomes</w:t>
            </w:r>
          </w:p>
        </w:tc>
      </w:tr>
      <w:tr>
        <w:trPr>
          <w:cantSplit w:val="true"/>
        </w:trPr>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6</w:t>
            </w:r>
          </w:p>
        </w:tc>
        <w:tc>
          <w:tcPr>
            <w:tcW w:type="dxa" w:w="405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Leverage AINNA Can Obtain from KSA</w:t>
            </w:r>
          </w:p>
        </w:tc>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16</w:t>
            </w:r>
          </w:p>
        </w:tc>
        <w:tc>
          <w:tcPr>
            <w:tcW w:type="dxa" w:w="411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Decision Requested from MIGHT</w:t>
            </w:r>
          </w:p>
        </w:tc>
      </w:tr>
      <w:tr>
        <w:trPr>
          <w:cantSplit w:val="true"/>
        </w:trPr>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7</w:t>
            </w:r>
          </w:p>
        </w:tc>
        <w:tc>
          <w:tcPr>
            <w:tcW w:type="dxa" w:w="405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Proposed Saudi NeuralOps Development Programme</w:t>
            </w:r>
          </w:p>
        </w:tc>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17</w:t>
            </w:r>
          </w:p>
        </w:tc>
        <w:tc>
          <w:tcPr>
            <w:tcW w:type="dxa" w:w="411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Immediate 30-60-90 Day Action Plan</w:t>
            </w:r>
          </w:p>
        </w:tc>
      </w:tr>
      <w:tr>
        <w:trPr>
          <w:cantSplit w:val="true"/>
        </w:trPr>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8</w:t>
            </w:r>
          </w:p>
        </w:tc>
        <w:tc>
          <w:tcPr>
            <w:tcW w:type="dxa" w:w="405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Technical Architecture Principles</w:t>
            </w:r>
          </w:p>
        </w:tc>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18</w:t>
            </w:r>
          </w:p>
        </w:tc>
        <w:tc>
          <w:tcPr>
            <w:tcW w:type="dxa" w:w="411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Conclusion</w:t>
            </w:r>
          </w:p>
        </w:tc>
      </w:tr>
      <w:tr>
        <w:trPr>
          <w:cantSplit w:val="true"/>
        </w:trPr>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9</w:t>
            </w:r>
          </w:p>
        </w:tc>
        <w:tc>
          <w:tcPr>
            <w:tcW w:type="dxa" w:w="405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Delivery Roadmap</w:t>
            </w:r>
          </w:p>
        </w:tc>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A</w:t>
            </w:r>
          </w:p>
        </w:tc>
        <w:tc>
          <w:tcPr>
            <w:tcW w:type="dxa" w:w="411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AINNA Delivery Capabilities</w:t>
            </w:r>
          </w:p>
        </w:tc>
      </w:tr>
      <w:tr>
        <w:trPr>
          <w:cantSplit w:val="true"/>
        </w:trPr>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10</w:t>
            </w:r>
          </w:p>
        </w:tc>
        <w:tc>
          <w:tcPr>
            <w:tcW w:type="dxa" w:w="405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Measurement and Success Criteria</w:t>
            </w:r>
          </w:p>
        </w:tc>
        <w:tc>
          <w:tcPr>
            <w:tcW w:type="dxa" w:w="600"/>
            <w:tcMar>
              <w:top w:w="65" w:type="dxa"/>
              <w:start w:w="20" w:type="dxa"/>
              <w:bottom w:w="65" w:type="dxa"/>
              <w:end w:w="100" w:type="dxa"/>
            </w:tcMar>
            <w:vAlign w:val="center"/>
          </w:tcPr>
          <w:p>
            <w:pPr>
              <w:spacing w:before="0" w:after="0" w:line="259" w:lineRule="auto"/>
              <w:jc w:val="right"/>
            </w:pPr>
            <w:r/>
            <w:r>
              <w:rPr>
                <w:rFonts w:ascii="Calibri" w:hAnsi="Calibri"/>
                <w:b/>
                <w:color w:val="C69214"/>
                <w:sz w:val="19"/>
              </w:rPr>
              <w:t>B</w:t>
            </w:r>
          </w:p>
        </w:tc>
        <w:tc>
          <w:tcPr>
            <w:tcW w:type="dxa" w:w="4110"/>
            <w:tcMar>
              <w:top w:w="65" w:type="dxa"/>
              <w:start w:w="40" w:type="dxa"/>
              <w:bottom w:w="65" w:type="dxa"/>
              <w:end w:w="100" w:type="dxa"/>
            </w:tcMar>
            <w:vAlign w:val="center"/>
          </w:tcPr>
          <w:p>
            <w:pPr>
              <w:spacing w:before="0" w:after="0" w:line="259" w:lineRule="auto"/>
              <w:jc w:val="left"/>
            </w:pPr>
            <w:r/>
            <w:r>
              <w:rPr>
                <w:rFonts w:ascii="Calibri" w:hAnsi="Calibri"/>
                <w:b w:val="0"/>
                <w:color w:val="0B2545"/>
                <w:sz w:val="19"/>
              </w:rPr>
              <w:t>Reference Sources and Notes</w:t>
            </w:r>
          </w:p>
        </w:tc>
      </w:tr>
    </w:tbl>
    <w:p>
      <w:pPr>
        <w:keepLines w:val="0"/>
        <w:spacing w:before="0" w:after="40" w:line="320" w:lineRule="auto"/>
      </w:pPr>
      <w:r>
        <w:rPr>
          <w:rFonts w:ascii="Calibri" w:hAnsi="Calibri"/>
          <w:b w:val="0"/>
          <w:i w:val="0"/>
          <w:color w:val="243447"/>
          <w:sz w:val="4"/>
        </w:rPr>
      </w:r>
    </w:p>
    <w:tbl>
      <w:tblPr>
        <w:tblW w:type="dxa" w:w="9360"/>
        <w:jc w:val="left"/>
        <w:tblLayout w:type="fixed"/>
        <w:tblLook w:firstColumn="1" w:firstRow="1" w:lastColumn="0" w:lastRow="0" w:noHBand="0" w:noVBand="1" w:val="04A0"/>
        <w:tblInd w:w="120" w:type="dxa"/>
        <w:tblBorders>
          <w:top w:val="single" w:sz="8" w:space="0" w:color="D7DEE8"/>
          <w:left w:val="single" w:sz="8" w:space="0" w:color="D7DEE8"/>
          <w:bottom w:val="single" w:sz="8" w:space="0" w:color="D7DEE8"/>
          <w:right w:val="single" w:sz="8" w:space="0" w:color="D7DEE8"/>
          <w:insideH w:val="single" w:sz="8" w:space="0" w:color="D7DEE8"/>
          <w:insideV w:val="single" w:sz="8" w:space="0" w:color="D7DEE8"/>
        </w:tblBorders>
      </w:tblPr>
      <w:tblGrid>
        <w:gridCol w:w="9360"/>
      </w:tblGrid>
      <w:tr>
        <w:trPr>
          <w:cantSplit w:val="true"/>
        </w:trPr>
        <w:tc>
          <w:tcPr>
            <w:tcW w:type="dxa" w:w="9360"/>
            <w:tcMar>
              <w:top w:w="150" w:type="dxa"/>
              <w:start w:w="180" w:type="dxa"/>
              <w:bottom w:w="150" w:type="dxa"/>
              <w:end w:w="180" w:type="dxa"/>
            </w:tcMar>
            <w:vAlign w:val="center"/>
            <w:shd w:fill="F4F6F9"/>
          </w:tcPr>
          <w:p>
            <w:pPr>
              <w:spacing w:before="0" w:after="40" w:line="283" w:lineRule="auto"/>
            </w:pPr>
            <w:r>
              <w:rPr>
                <w:rFonts w:ascii="Calibri" w:hAnsi="Calibri"/>
                <w:b/>
                <w:color w:val="C69214"/>
                <w:sz w:val="19"/>
              </w:rPr>
              <w:t>PROPOSAL INTENT  To obtain MIGHT's support in structuring and facilitating an AINNA-led Malaysia-Saudi consortium pathway for NeuralOps, with TAFE JD and PCG Edge as key consortium partners, leading to Saudi-based development, sector deployment and regional commercialisation.</w:t>
            </w:r>
          </w:p>
        </w:tc>
      </w:tr>
    </w:tbl>
    <w:p>
      <w:pPr>
        <w:keepLines w:val="0"/>
        <w:spacing w:before="0" w:after="60" w:line="320" w:lineRule="auto"/>
      </w:pPr>
      <w:r>
        <w:rPr>
          <w:rFonts w:ascii="Calibri" w:hAnsi="Calibri"/>
          <w:b w:val="0"/>
          <w:i w:val="0"/>
          <w:color w:val="243447"/>
          <w:sz w:val="4"/>
        </w:rPr>
      </w:r>
    </w:p>
    <w:p>
      <w:r>
        <w:br w:type="page"/>
      </w:r>
    </w:p>
    <w:p>
      <w:pPr>
        <w:pStyle w:val="Heading1"/>
        <w:keepNext/>
      </w:pPr>
      <w:r>
        <w:t>1. Executive Summary</w:t>
      </w:r>
    </w:p>
    <w:p>
      <w:pPr>
        <w:keepLines w:val="0"/>
        <w:spacing w:before="0" w:after="160" w:line="320" w:lineRule="auto"/>
      </w:pPr>
      <w:r>
        <w:rPr>
          <w:rFonts w:ascii="Calibri" w:hAnsi="Calibri"/>
          <w:b w:val="0"/>
          <w:i w:val="0"/>
          <w:color w:val="243447"/>
          <w:sz w:val="22"/>
        </w:rPr>
        <w:t>AINNA proposes a strategic collaboration with MIGHT to establish Saudi Arabia as a development, infrastructure and scaling hub for AINNA NeuralOps. The programme should be executed through an AINNA-led consortium that explicitly includes TAFE JD and PCG Edge, while MIGHT serves as the strategic enabler and Malaysia-Saudi ecosystem bridge. This structure combines AINNA's AI orchestration and automation capabilities, TAFE JD's Saudi market-entry and operational execution capability, PCG Edge's investment and commercial structuring capability, MIGHT's institutional leverage, and Saudi Arabia's expanding AI, cloud, data-centre, industry and localisation ecosystem.</w:t>
      </w:r>
    </w:p>
    <w:p>
      <w:pPr>
        <w:keepLines w:val="0"/>
        <w:spacing w:before="0" w:after="160" w:line="320" w:lineRule="auto"/>
      </w:pPr>
      <w:r>
        <w:rPr>
          <w:rFonts w:ascii="Calibri" w:hAnsi="Calibri"/>
          <w:b w:val="0"/>
          <w:i w:val="0"/>
          <w:color w:val="243447"/>
          <w:sz w:val="22"/>
        </w:rPr>
        <w:t>The proposal is not to introduce another isolated chatbot or to use the Kingdom merely as a testbed. It is to build a Saudi-capable NeuralOps platform that determines how each workload should be processed, selects the appropriate combination of deterministic systems and AI models, validates outputs, and measures the resources consumed to produce a useful result.</w:t>
      </w:r>
    </w:p>
    <w:p>
      <w:pPr>
        <w:spacing w:before="0" w:after="160" w:line="320" w:lineRule="auto"/>
        <w:jc w:val="both"/>
      </w:pPr>
      <w:r>
        <w:rPr>
          <w:rFonts w:ascii="Calibri" w:hAnsi="Calibri"/>
          <w:b/>
          <w:color w:val="0B2545"/>
          <w:sz w:val="22"/>
        </w:rPr>
        <w:t xml:space="preserve">NeuralOps is intended to improve AI delivery through four design priorities: </w:t>
      </w:r>
      <w:r>
        <w:rPr>
          <w:rFonts w:ascii="Calibri" w:hAnsi="Calibri"/>
          <w:color w:val="243447"/>
          <w:sz w:val="22"/>
        </w:rPr>
        <w:t>reducing hallucination exposure, reducing unnecessary token and compute consumption, optimising power and infrastructure utilisation, and increasing operational reliability across multiple industries.</w:t>
      </w:r>
    </w:p>
    <w:p>
      <w:pPr>
        <w:keepLines w:val="0"/>
        <w:spacing w:before="0" w:after="160" w:line="320" w:lineRule="auto"/>
      </w:pPr>
      <w:r>
        <w:rPr>
          <w:rFonts w:ascii="Calibri" w:hAnsi="Calibri"/>
          <w:b w:val="0"/>
          <w:i w:val="0"/>
          <w:color w:val="243447"/>
          <w:sz w:val="22"/>
        </w:rPr>
        <w:t>AINNA seeks MIGHT's leverage in strategic positioning, stakeholder access, programme structuring, technology validation networks, internationalisation, funding and investment pathways, and Malaysia-Saudi commercial facilitation. TAFE JD is proposed to support Saudi business establishment, regulatory coordination, government and partner engagement, localisation and ongoing operations. PCG Edge is proposed to support investment discipline, deal structuring, capital pathways, commercial due diligence and regional expansion. In Saudi Arabia, the consortium seeks access to development partners, infrastructure providers, Arabic and local AI capabilities, sector hosts, talent, capital and procurement pathways.[8][9]</w:t>
      </w:r>
    </w:p>
    <w:tbl>
      <w:tblPr>
        <w:tblW w:type="dxa" w:w="9360"/>
        <w:jc w:val="left"/>
        <w:tblLayout w:type="fixed"/>
        <w:tblLook w:firstColumn="1" w:firstRow="1" w:lastColumn="0" w:lastRow="0" w:noHBand="0" w:noVBand="1" w:val="04A0"/>
        <w:tblInd w:w="120" w:type="dxa"/>
        <w:tblBorders>
          <w:top w:val="single" w:sz="8" w:space="0" w:color="D7DEE8"/>
          <w:left w:val="single" w:sz="8" w:space="0" w:color="D7DEE8"/>
          <w:bottom w:val="single" w:sz="8" w:space="0" w:color="D7DEE8"/>
          <w:right w:val="single" w:sz="8" w:space="0" w:color="D7DEE8"/>
          <w:insideH w:val="single" w:sz="8" w:space="0" w:color="D7DEE8"/>
          <w:insideV w:val="single" w:sz="8" w:space="0" w:color="D7DEE8"/>
        </w:tblBorders>
      </w:tblPr>
      <w:tblGrid>
        <w:gridCol w:w="9360"/>
      </w:tblGrid>
      <w:tr>
        <w:trPr>
          <w:cantSplit w:val="true"/>
        </w:trPr>
        <w:tc>
          <w:tcPr>
            <w:tcW w:type="dxa" w:w="9360"/>
            <w:tcMar>
              <w:top w:w="150" w:type="dxa"/>
              <w:start w:w="180" w:type="dxa"/>
              <w:bottom w:w="150" w:type="dxa"/>
              <w:end w:w="180" w:type="dxa"/>
            </w:tcMar>
            <w:vAlign w:val="center"/>
            <w:shd w:fill="F4F6F9"/>
          </w:tcPr>
          <w:p>
            <w:pPr>
              <w:spacing w:before="0" w:after="40" w:line="283" w:lineRule="auto"/>
            </w:pPr>
            <w:r>
              <w:rPr>
                <w:rFonts w:ascii="Calibri" w:hAnsi="Calibri"/>
                <w:b/>
                <w:color w:val="C69214"/>
                <w:sz w:val="19"/>
              </w:rPr>
              <w:t>REQUESTED OUTCOME  A jointly structured Saudi NeuralOps Development Programme with the AINNA-TAFE JD-PCG Edge consortium explicitly defined, an agreed 18-month build roadmap, named Saudi partners, defined governance, an initial sector portfolio, a commercialisation pathway and measurable performance criteria.</w:t>
            </w:r>
          </w:p>
        </w:tc>
      </w:tr>
    </w:tbl>
    <w:p>
      <w:pPr>
        <w:keepLines w:val="0"/>
        <w:spacing w:before="0" w:after="60" w:line="320" w:lineRule="auto"/>
      </w:pPr>
      <w:r>
        <w:rPr>
          <w:rFonts w:ascii="Calibri" w:hAnsi="Calibri"/>
          <w:b w:val="0"/>
          <w:i w:val="0"/>
          <w:color w:val="243447"/>
          <w:sz w:val="4"/>
        </w:rPr>
      </w:r>
    </w:p>
    <w:p>
      <w:pPr>
        <w:pStyle w:val="Heading2"/>
        <w:keepNext/>
      </w:pPr>
      <w:r>
        <w:t>Proposal at a Glance</w:t>
      </w:r>
    </w:p>
    <w:tbl>
      <w:tblPr>
        <w:tblW w:type="dxa" w:w="9360"/>
        <w:tblLayout w:type="fixed"/>
        <w:tblLook w:firstColumn="1" w:firstRow="1" w:lastColumn="0" w:lastRow="0" w:noHBand="0" w:noVBand="1" w:val="04A0"/>
        <w:jc w:val="left"/>
        <w:tblInd w:w="120" w:type="dxa"/>
        <w:tblBorders>
          <w:top w:val="single" w:sz="6" w:space="0" w:color="D7DEE8"/>
          <w:left w:val="single" w:sz="6" w:space="0" w:color="D7DEE8"/>
          <w:bottom w:val="single" w:sz="6" w:space="0" w:color="D7DEE8"/>
          <w:right w:val="single" w:sz="6" w:space="0" w:color="D7DEE8"/>
          <w:insideH w:val="single" w:sz="6" w:space="0" w:color="D7DEE8"/>
          <w:insideV w:val="single" w:sz="6" w:space="0" w:color="D7DEE8"/>
        </w:tblBorders>
      </w:tblPr>
      <w:tblGrid>
        <w:gridCol w:w="2100"/>
        <w:gridCol w:w="7260"/>
      </w:tblGrid>
      <w:tr>
        <w:trPr>
          <w:cantSplit w:val="true"/>
          <w:tblHeader w:val="true"/>
        </w:trPr>
        <w:tc>
          <w:tcPr>
            <w:tcW w:type="dxa" w:w="210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Element</w:t>
            </w:r>
          </w:p>
        </w:tc>
        <w:tc>
          <w:tcPr>
            <w:tcW w:type="dxa" w:w="726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Proposed Position</w:t>
            </w:r>
          </w:p>
        </w:tc>
      </w:tr>
      <w:tr>
        <w:trPr>
          <w:cantSplit w:val="true"/>
        </w:trPr>
        <w:tc>
          <w:tcPr>
            <w:tcW w:type="dxa" w:w="210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8"/>
              </w:rPr>
              <w:t>Strategic goal</w:t>
            </w:r>
          </w:p>
        </w:tc>
        <w:tc>
          <w:tcPr>
            <w:tcW w:type="dxa" w:w="726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Build and scale a Saudi-capable, multi-industry NeuralOps platform.</w:t>
            </w:r>
          </w:p>
        </w:tc>
      </w:tr>
      <w:tr>
        <w:trPr>
          <w:cantSplit w:val="true"/>
        </w:trPr>
        <w:tc>
          <w:tcPr>
            <w:tcW w:type="dxa" w:w="210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8"/>
              </w:rPr>
              <w:t>MIGHT's role</w:t>
            </w:r>
          </w:p>
        </w:tc>
        <w:tc>
          <w:tcPr>
            <w:tcW w:type="dxa" w:w="726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Strategic enabler, ecosystem bridge, programme facilitator and internationalisation partner.</w:t>
            </w:r>
          </w:p>
        </w:tc>
      </w:tr>
      <w:tr>
        <w:trPr>
          <w:cantSplit w:val="true"/>
        </w:trPr>
        <w:tc>
          <w:tcPr>
            <w:tcW w:type="dxa" w:w="210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8"/>
              </w:rPr>
              <w:t>KSA leverage</w:t>
            </w:r>
          </w:p>
        </w:tc>
        <w:tc>
          <w:tcPr>
            <w:tcW w:type="dxa" w:w="726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AI infrastructure, cloud, data centres, Arabic models, industry hosts, talent, capital and regional market access.</w:t>
            </w:r>
          </w:p>
        </w:tc>
      </w:tr>
      <w:tr>
        <w:trPr>
          <w:cantSplit w:val="true"/>
        </w:trPr>
        <w:tc>
          <w:tcPr>
            <w:tcW w:type="dxa" w:w="210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8"/>
              </w:rPr>
              <w:t>AINNA's role</w:t>
            </w:r>
          </w:p>
        </w:tc>
        <w:tc>
          <w:tcPr>
            <w:tcW w:type="dxa" w:w="726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Core technology, product architecture, system integration, sector solutions, implementation and operational know-how.</w:t>
            </w:r>
          </w:p>
        </w:tc>
      </w:tr>
      <w:tr>
        <w:trPr>
          <w:cantSplit w:val="true"/>
        </w:trPr>
        <w:tc>
          <w:tcPr>
            <w:tcW w:type="dxa" w:w="210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Indicative horizon</w:t>
            </w:r>
          </w:p>
        </w:tc>
        <w:tc>
          <w:tcPr>
            <w:tcW w:type="dxa" w:w="726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18 months to build, localise, deploy and productise the initial Saudi platform; regional scale thereafter.</w:t>
            </w:r>
          </w:p>
        </w:tc>
      </w:tr>
      <w:tr>
        <w:trPr>
          <w:cantSplit w:val="true"/>
        </w:trPr>
        <w:tc>
          <w:tcPr>
            <w:tcW w:type="dxa" w:w="210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8"/>
              </w:rPr>
              <w:t>Commercial intent</w:t>
            </w:r>
          </w:p>
        </w:tc>
        <w:tc>
          <w:tcPr>
            <w:tcW w:type="dxa" w:w="726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Saudi deployment first, followed by expansion into the GCC and selected international markets.</w:t>
            </w:r>
          </w:p>
        </w:tc>
      </w:tr>
      <w:tr>
        <w:tc>
          <w:tcPr>
            <w:tcW w:type="dxa" w:w="2100"/>
          </w:tcPr>
          <w:p>
            <w:r>
              <w:t>Consortium structure</w:t>
            </w:r>
          </w:p>
        </w:tc>
        <w:tc>
          <w:tcPr>
            <w:tcW w:type="dxa" w:w="7260"/>
          </w:tcPr>
          <w:p>
            <w:r>
              <w:t>AINNA-led delivery consortium with TAFE JD and PCG Edge; legal form, scope, exclusivity, commercial rights and contracting responsibilities to be confirmed in the MoU.</w:t>
            </w:r>
          </w:p>
        </w:tc>
      </w:tr>
      <w:tr>
        <w:tc>
          <w:tcPr>
            <w:tcW w:type="dxa" w:w="2100"/>
          </w:tcPr>
          <w:p>
            <w:r>
              <w:t>TAFE JD role</w:t>
            </w:r>
          </w:p>
        </w:tc>
        <w:tc>
          <w:tcPr>
            <w:tcW w:type="dxa" w:w="7260"/>
          </w:tcPr>
          <w:p>
            <w:r>
              <w:t>Saudi market-entry and local execution partner: company formation, foreign investment and regulatory coordination, government relations, compliance, localisation, PMO, industrial support and partner development.</w:t>
            </w:r>
          </w:p>
        </w:tc>
      </w:tr>
      <w:tr>
        <w:tc>
          <w:tcPr>
            <w:tcW w:type="dxa" w:w="2100"/>
          </w:tcPr>
          <w:p>
            <w:r>
              <w:t>PCG Edge role</w:t>
            </w:r>
          </w:p>
        </w:tc>
        <w:tc>
          <w:tcPr>
            <w:tcW w:type="dxa" w:w="7260"/>
          </w:tcPr>
          <w:p>
            <w:r>
              <w:t>Investment and commercial structuring partner: deal sourcing and analysis, investment discipline, capital pathways, commercial due diligence and regional expansion support, subject to final consortium mandate.</w:t>
            </w:r>
          </w:p>
        </w:tc>
      </w:tr>
    </w:tbl>
    <w:p>
      <w:pPr>
        <w:keepLines w:val="0"/>
        <w:spacing w:before="0" w:after="60" w:line="320" w:lineRule="auto"/>
      </w:pPr>
      <w:r>
        <w:rPr>
          <w:rFonts w:ascii="Calibri" w:hAnsi="Calibri"/>
          <w:b w:val="0"/>
          <w:i w:val="0"/>
          <w:color w:val="243447"/>
          <w:sz w:val="4"/>
        </w:rPr>
      </w:r>
    </w:p>
    <w:p>
      <w:pPr>
        <w:pStyle w:val="Heading1"/>
        <w:keepNext/>
      </w:pPr>
      <w:r>
        <w:t>2. Strategic Context</w:t>
      </w:r>
    </w:p>
    <w:p>
      <w:pPr>
        <w:pStyle w:val="Heading2"/>
        <w:keepNext/>
      </w:pPr>
      <w:r>
        <w:t>2.1 Why MIGHT</w:t>
      </w:r>
    </w:p>
    <w:p>
      <w:pPr>
        <w:keepLines w:val="0"/>
        <w:spacing w:before="0" w:after="160" w:line="320" w:lineRule="auto"/>
      </w:pPr>
      <w:r>
        <w:rPr>
          <w:rFonts w:ascii="Calibri" w:hAnsi="Calibri"/>
          <w:b w:val="0"/>
          <w:i w:val="0"/>
          <w:color w:val="243447"/>
          <w:sz w:val="22"/>
        </w:rPr>
        <w:t>MIGHT states that it was formed to identify business opportunities for Malaysia through the strategic exploitation of technology. Its public role includes building technology partnerships across the private and public sectors, providing strategic advice and alliances, applying foresight and market intelligence, and connecting technology, policy, funding and talent.[1]</w:t>
      </w:r>
    </w:p>
    <w:p>
      <w:pPr>
        <w:keepLines w:val="0"/>
        <w:spacing w:before="0" w:after="160" w:line="320" w:lineRule="auto"/>
      </w:pPr>
      <w:r>
        <w:rPr>
          <w:rFonts w:ascii="Calibri" w:hAnsi="Calibri"/>
          <w:b w:val="0"/>
          <w:i w:val="0"/>
          <w:color w:val="243447"/>
          <w:sz w:val="22"/>
        </w:rPr>
        <w:t>This mandate aligns directly with AINNA's need. The principal request is not for MIGHT to build AINNA's technology or to act only as a direct funder. The strategic value is MIGHT's capacity to help convert Malaysian technology into a structured international development and commercialisation programme.</w:t>
      </w:r>
    </w:p>
    <w:p>
      <w:pPr>
        <w:pStyle w:val="Heading2"/>
        <w:keepNext/>
      </w:pPr>
      <w:r>
        <w:t>2.2 Why Saudi Arabia</w:t>
      </w:r>
    </w:p>
    <w:p>
      <w:pPr>
        <w:keepLines w:val="0"/>
        <w:spacing w:before="0" w:after="160" w:line="320" w:lineRule="auto"/>
      </w:pPr>
      <w:r>
        <w:rPr>
          <w:rFonts w:ascii="Calibri" w:hAnsi="Calibri"/>
          <w:b w:val="0"/>
          <w:i w:val="0"/>
          <w:color w:val="243447"/>
          <w:sz w:val="22"/>
        </w:rPr>
        <w:t>Saudi Arabia is building a broad AI value chain. PIF describes HUMAIN as operating across data centres, cloud infrastructure, models and applications, with Arabic-language capabilities and sector ambitions spanning smart cities, energy, healthcare, manufacturing and financial services.[3] PIF has also announced an advanced AI hub with Google Cloud near Dammam, including purpose-built TPU and GPU infrastructure and work on Arabic-language models and Saudi-specific applications.[4]</w:t>
      </w:r>
    </w:p>
    <w:p>
      <w:pPr>
        <w:keepLines w:val="0"/>
        <w:spacing w:before="0" w:after="160" w:line="320" w:lineRule="auto"/>
      </w:pPr>
      <w:r>
        <w:rPr>
          <w:rFonts w:ascii="Calibri" w:hAnsi="Calibri"/>
          <w:b w:val="0"/>
          <w:i w:val="0"/>
          <w:color w:val="243447"/>
          <w:sz w:val="22"/>
        </w:rPr>
        <w:t>At LEAP 2026, Saudi MCIT reported approximately US$2.5 billion in newly announced investments and launches across data centres, cloud services, localisation and R&amp;D. The same official source reported plans for an AWS Region in Saudi Arabia in December 2026 and an AI Zone with HUMAIN, including advanced AI infrastructure and access to Arabic-language capabilities.[5][6] These announcements are cited as evidence of ecosystem direction; all implementation timelines remain subject to the relevant organisations.</w:t>
      </w:r>
    </w:p>
    <w:tbl>
      <w:tblPr>
        <w:tblW w:type="dxa" w:w="9360"/>
        <w:jc w:val="left"/>
        <w:tblLayout w:type="fixed"/>
        <w:tblLook w:firstColumn="1" w:firstRow="1" w:lastColumn="0" w:lastRow="0" w:noHBand="0" w:noVBand="1" w:val="04A0"/>
        <w:tblInd w:w="120" w:type="dxa"/>
        <w:tblBorders>
          <w:top w:val="single" w:sz="8" w:space="0" w:color="D7DEE8"/>
          <w:left w:val="single" w:sz="8" w:space="0" w:color="D7DEE8"/>
          <w:bottom w:val="single" w:sz="8" w:space="0" w:color="D7DEE8"/>
          <w:right w:val="single" w:sz="8" w:space="0" w:color="D7DEE8"/>
          <w:insideH w:val="single" w:sz="8" w:space="0" w:color="D7DEE8"/>
          <w:insideV w:val="single" w:sz="8" w:space="0" w:color="D7DEE8"/>
        </w:tblBorders>
      </w:tblPr>
      <w:tblGrid>
        <w:gridCol w:w="9360"/>
      </w:tblGrid>
      <w:tr>
        <w:trPr>
          <w:cantSplit w:val="true"/>
        </w:trPr>
        <w:tc>
          <w:tcPr>
            <w:tcW w:type="dxa" w:w="9360"/>
            <w:tcMar>
              <w:top w:w="150" w:type="dxa"/>
              <w:start w:w="180" w:type="dxa"/>
              <w:bottom w:w="150" w:type="dxa"/>
              <w:end w:w="180" w:type="dxa"/>
            </w:tcMar>
            <w:vAlign w:val="center"/>
            <w:shd w:fill="F4F6F9"/>
          </w:tcPr>
          <w:p>
            <w:pPr>
              <w:spacing w:before="0" w:after="40" w:line="283" w:lineRule="auto"/>
            </w:pPr>
            <w:r>
              <w:rPr>
                <w:rFonts w:ascii="Calibri" w:hAnsi="Calibri"/>
                <w:b/>
                <w:color w:val="C69214"/>
                <w:sz w:val="19"/>
              </w:rPr>
              <w:t xml:space="preserve">STRATEGIC IMPLICATION  </w:t>
            </w:r>
            <w:r>
              <w:rPr>
                <w:rFonts w:ascii="Calibri" w:hAnsi="Calibri"/>
                <w:b/>
                <w:color w:val="0B2545"/>
                <w:sz w:val="22"/>
              </w:rPr>
              <w:t>Saudi Arabia allows AINNA to focus on building the optimisation, orchestration and application layer on top of a growing infrastructure base, instead of independently recreating the entire underlying AI ecosystem.</w:t>
            </w:r>
          </w:p>
        </w:tc>
      </w:tr>
    </w:tbl>
    <w:p>
      <w:pPr>
        <w:keepLines w:val="0"/>
        <w:spacing w:before="0" w:after="60" w:line="320" w:lineRule="auto"/>
      </w:pPr>
      <w:r>
        <w:rPr>
          <w:rFonts w:ascii="Calibri" w:hAnsi="Calibri"/>
          <w:b w:val="0"/>
          <w:i w:val="0"/>
          <w:color w:val="243447"/>
          <w:sz w:val="4"/>
        </w:rPr>
      </w:r>
    </w:p>
    <w:p>
      <w:pPr>
        <w:pStyle w:val="Heading2"/>
        <w:keepNext/>
      </w:pPr>
      <w:pPr>
        <w:pStyle w:val="Heading2"/>
      </w:pPr>
      <w:r>
        <w:rPr/>
        <w:t>2.3 Consortium Structure: TAFE JD and PCG Edge</w:t>
      </w:r>
    </w:p>
    <w:p>
      <w:pPr>
        <w:keepLines w:val="0"/>
        <w:spacing w:before="0" w:after="160" w:line="320" w:lineRule="auto"/>
      </w:pPr>
      <w:pPr/>
      <w:r>
        <w:rPr>
          <w:rFonts w:ascii="Calibri" w:hAnsi="Calibri"/>
          <w:b w:val="0"/>
          <w:i w:val="0"/>
          <w:sz w:val="22"/>
        </w:rPr>
        <w:t>The current proposal should not leave the Saudi delivery structure as a generic reference to “Saudi partners”. The key consortium should be stated explicitly as AINNA, TAFE JD and PCG Edge, with MIGHT positioned as the strategic enabler and institutional bridge.</w:t>
      </w:r>
    </w:p>
    <w:p>
      <w:pPr>
        <w:keepLines w:val="0"/>
        <w:spacing w:before="0" w:after="160" w:line="320" w:lineRule="auto"/>
      </w:pPr>
      <w:pPr/>
      <w:r>
        <w:rPr>
          <w:rFonts w:ascii="Calibri" w:hAnsi="Calibri"/>
          <w:b w:val="0"/>
          <w:i w:val="0"/>
          <w:sz w:val="22"/>
        </w:rPr>
        <w:t>TAFE JD. Public materials position TAFE JD as a Saudi strategic business partner supporting company formation, foreign investment and market entry, regulatory approvals, government relations, compliance, business consulting, PMO, technology transfer, industrial localisation, business matching and market expansion. These capabilities map directly to Saudi market-entry, localisation, operating setup, stakeholder engagement and regulatory execution for the NeuralOps programme.[8]</w:t>
      </w:r>
    </w:p>
    <w:p>
      <w:pPr>
        <w:keepLines w:val="0"/>
        <w:spacing w:before="0" w:after="160" w:line="320" w:lineRule="auto"/>
      </w:pPr>
      <w:pPr/>
      <w:r>
        <w:rPr>
          <w:rFonts w:ascii="Calibri" w:hAnsi="Calibri"/>
          <w:b w:val="0"/>
          <w:i w:val="0"/>
          <w:sz w:val="22"/>
        </w:rPr>
        <w:t>PCG Edge. Public materials for The PCG Edge describe a disciplined investment process covering deal sourcing, deal analysis, deal approval and capital drawdown, together with private-equity and venture investment activity across Japan and Southeast Asia. For this consortium, those capabilities support investment structuring, commercial due diligence, capital-pathway development and regional expansion. The exact legal entity name and mandate should be confirmed in the consortium MoU before execution.[9]</w:t>
      </w:r>
    </w:p>
    <w:p>
      <w:pPr>
        <w:keepLines w:val="0"/>
        <w:spacing w:before="0" w:after="160" w:line="320" w:lineRule="auto"/>
      </w:pPr>
      <w:pPr/>
      <w:r>
        <w:rPr>
          <w:rFonts w:ascii="Calibri" w:hAnsi="Calibri"/>
          <w:b w:val="0"/>
          <w:i w:val="0"/>
          <w:sz w:val="22"/>
        </w:rPr>
        <w:t>CONSORTIUM PRINCIPLE  AINNA remains NeuralOps technology owner and technical delivery lead; TAFE JD anchors Saudi market access, localisation and local operating execution; PCG Edge supports investment and commercial structuring; and MIGHT provides strategic facilitation, validation access and Malaysia-Saudi institutional leverage.</w:t>
      </w:r>
    </w:p>
    <w:p>
      <w:pPr>
        <w:pStyle w:val="Heading1"/>
        <w:keepNext/>
      </w:pPr>
      <w:r>
        <w:t>3. AINNA and NeuralOps</w:t>
      </w:r>
    </w:p>
    <w:p>
      <w:pPr>
        <w:pStyle w:val="Heading2"/>
        <w:keepNext/>
      </w:pPr>
      <w:r>
        <w:t>3.1 AINNA Capability Profile</w:t>
      </w:r>
    </w:p>
    <w:p>
      <w:pPr>
        <w:keepLines w:val="0"/>
        <w:spacing w:before="0" w:after="160" w:line="320" w:lineRule="auto"/>
      </w:pPr>
      <w:r>
        <w:rPr>
          <w:rFonts w:ascii="Calibri" w:hAnsi="Calibri"/>
          <w:b w:val="0"/>
          <w:i w:val="0"/>
          <w:color w:val="243447"/>
          <w:sz w:val="22"/>
        </w:rPr>
        <w:t>AINNA is a Malaysian technology and operations company developing practical AI, automation and digital systems. Its approach is grounded in real operational workflows rather than AI demonstrations alone. Relevant capability areas include:</w:t>
      </w:r>
    </w:p>
    <w:p>
      <w:pPr>
        <w:keepLines/>
        <w:spacing w:before="0" w:after="80" w:line="290" w:lineRule="auto"/>
        <w:numPr>
          <w:ilvl w:val="0"/>
          <w:numId w:val="10"/>
        </w:numPr>
      </w:pPr>
      <w:r>
        <w:rPr>
          <w:rFonts w:ascii="Calibri" w:hAnsi="Calibri"/>
          <w:color w:val="243447"/>
          <w:sz w:val="22"/>
        </w:rPr>
        <w:t>AI agents and workflow automation for business operations.</w:t>
      </w:r>
    </w:p>
    <w:p>
      <w:pPr>
        <w:keepLines/>
        <w:spacing w:before="0" w:after="80" w:line="290" w:lineRule="auto"/>
        <w:numPr>
          <w:ilvl w:val="0"/>
          <w:numId w:val="10"/>
        </w:numPr>
      </w:pPr>
      <w:r>
        <w:rPr>
          <w:rFonts w:ascii="Calibri" w:hAnsi="Calibri"/>
          <w:color w:val="243447"/>
          <w:sz w:val="22"/>
        </w:rPr>
        <w:t>Smart routing between rules, parsers, small models, specialist models and large language models.</w:t>
      </w:r>
    </w:p>
    <w:p>
      <w:pPr>
        <w:keepLines/>
        <w:spacing w:before="0" w:after="80" w:line="290" w:lineRule="auto"/>
        <w:numPr>
          <w:ilvl w:val="0"/>
          <w:numId w:val="10"/>
        </w:numPr>
      </w:pPr>
      <w:r>
        <w:rPr>
          <w:rFonts w:ascii="Calibri" w:hAnsi="Calibri"/>
          <w:color w:val="243447"/>
          <w:sz w:val="22"/>
        </w:rPr>
        <w:t>Structured financial-data processing, reconciliation and reporting workflows.</w:t>
      </w:r>
    </w:p>
    <w:p>
      <w:pPr>
        <w:keepLines/>
        <w:spacing w:before="0" w:after="80" w:line="290" w:lineRule="auto"/>
        <w:numPr>
          <w:ilvl w:val="0"/>
          <w:numId w:val="10"/>
        </w:numPr>
      </w:pPr>
      <w:r>
        <w:rPr>
          <w:rFonts w:ascii="Calibri" w:hAnsi="Calibri"/>
          <w:color w:val="243447"/>
          <w:sz w:val="22"/>
        </w:rPr>
        <w:t>Detached systems for repetitive, high-volume and deterministic processing.</w:t>
      </w:r>
    </w:p>
    <w:p>
      <w:pPr>
        <w:keepLines/>
        <w:spacing w:before="0" w:after="80" w:line="290" w:lineRule="auto"/>
        <w:numPr>
          <w:ilvl w:val="0"/>
          <w:numId w:val="10"/>
        </w:numPr>
      </w:pPr>
      <w:r>
        <w:rPr>
          <w:rFonts w:ascii="Calibri" w:hAnsi="Calibri"/>
          <w:color w:val="243447"/>
          <w:sz w:val="22"/>
        </w:rPr>
        <w:t>Private, local and cloud AI deployment patterns.</w:t>
      </w:r>
    </w:p>
    <w:p>
      <w:pPr>
        <w:keepLines/>
        <w:spacing w:before="0" w:after="80" w:line="290" w:lineRule="auto"/>
        <w:numPr>
          <w:ilvl w:val="0"/>
          <w:numId w:val="10"/>
        </w:numPr>
      </w:pPr>
      <w:r>
        <w:rPr>
          <w:rFonts w:ascii="Calibri" w:hAnsi="Calibri"/>
          <w:color w:val="243447"/>
          <w:sz w:val="22"/>
        </w:rPr>
        <w:t>System integration, dashboards, monitoring and operational controls.</w:t>
      </w:r>
    </w:p>
    <w:p>
      <w:pPr>
        <w:keepLines/>
        <w:spacing w:before="0" w:after="80" w:line="290" w:lineRule="auto"/>
        <w:numPr>
          <w:ilvl w:val="0"/>
          <w:numId w:val="10"/>
        </w:numPr>
      </w:pPr>
      <w:r>
        <w:rPr>
          <w:rFonts w:ascii="Calibri" w:hAnsi="Calibri"/>
          <w:color w:val="243447"/>
          <w:sz w:val="22"/>
        </w:rPr>
        <w:t>Computer vision, IoT and sensor-connected solution concepts for industry and agriculture.</w:t>
      </w:r>
    </w:p>
    <w:p>
      <w:pPr>
        <w:pStyle w:val="Heading2"/>
        <w:keepNext/>
      </w:pPr>
      <w:r>
        <w:t>3.2 What NeuralOps Is</w:t>
      </w:r>
    </w:p>
    <w:p>
      <w:pPr>
        <w:keepLines w:val="0"/>
        <w:spacing w:before="0" w:after="160" w:line="320" w:lineRule="auto"/>
      </w:pPr>
      <w:r>
        <w:rPr>
          <w:rFonts w:ascii="Calibri" w:hAnsi="Calibri"/>
          <w:b w:val="0"/>
          <w:i w:val="0"/>
          <w:color w:val="243447"/>
          <w:sz w:val="22"/>
        </w:rPr>
        <w:t>NeuralOps is AINNA's proposed AI optimisation and orchestration architecture. It treats an LLM as one component within a wider operational system, not as the default processor for every task. The control plane classifies the workload, assesses risk and context, selects the most appropriate execution path, validates the result and records operational telemetry.</w:t>
      </w:r>
    </w:p>
    <w:p>
      <w:pPr>
        <w:keepLines w:val="0"/>
        <w:spacing w:before="0" w:after="160" w:line="320" w:lineRule="auto"/>
      </w:pPr>
      <w:r>
        <w:rPr>
          <w:rFonts w:ascii="Calibri" w:hAnsi="Calibri"/>
          <w:b w:val="0"/>
          <w:i w:val="0"/>
          <w:color w:val="243447"/>
          <w:sz w:val="22"/>
        </w:rPr>
        <w:t>Depending on the task, NeuralOps may route work to a rules engine, structured parser, automation workflow, detached processing system, small language model, specialist model, Arabic or local model, large language model, computer-vision system or human reviewer.</w:t>
      </w:r>
    </w:p>
    <w:p>
      <w:r>
        <w:drawing>
          <wp:inline xmlns:a="http://schemas.openxmlformats.org/drawingml/2006/main" xmlns:pic="http://schemas.openxmlformats.org/drawingml/2006/picture">
            <wp:extent cx="5742432" cy="3184439"/>
            <wp:docPr id="1" name="Picture 1" descr="AINNA NeuralOps architecture showing workload classification, intelligent routing, validation, governance and measurable outcomes."/>
            <wp:cNvGraphicFramePr>
              <a:graphicFrameLocks noChangeAspect="1"/>
            </wp:cNvGraphicFramePr>
            <a:graphic>
              <a:graphicData uri="http://schemas.openxmlformats.org/drawingml/2006/picture">
                <pic:pic>
                  <pic:nvPicPr>
                    <pic:cNvPr id="0" name="neuralops_architecture.png"/>
                    <pic:cNvPicPr/>
                  </pic:nvPicPr>
                  <pic:blipFill>
                    <a:blip r:embed="rId13"/>
                    <a:stretch>
                      <a:fillRect/>
                    </a:stretch>
                  </pic:blipFill>
                  <pic:spPr>
                    <a:xfrm>
                      <a:off x="0" y="0"/>
                      <a:ext cx="5742432" cy="3184439"/>
                    </a:xfrm>
                    <a:prstGeom prst="rect"/>
                  </pic:spPr>
                </pic:pic>
              </a:graphicData>
            </a:graphic>
          </wp:inline>
        </w:drawing>
      </w:r>
    </w:p>
    <w:p>
      <w:pPr>
        <w:keepNext w:val="0"/>
        <w:keepLines w:val="0"/>
        <w:spacing w:before="0" w:after="160" w:line="240" w:lineRule="auto"/>
        <w:jc w:val="center"/>
      </w:pPr>
      <w:r>
        <w:rPr>
          <w:rFonts w:ascii="Calibri" w:hAnsi="Calibri"/>
          <w:b w:val="0"/>
          <w:i/>
          <w:color w:val="65758B"/>
          <w:sz w:val="18"/>
        </w:rPr>
        <w:t>Figure 1. Conceptual NeuralOps architecture for controlled, measurable AI execution.</w:t>
      </w:r>
    </w:p>
    <w:p>
      <w:pPr>
        <w:pStyle w:val="Heading2"/>
        <w:keepNext/>
      </w:pPr>
      <w:r>
        <w:t>3.3 Intended Optimisation Outcomes</w:t>
      </w:r>
    </w:p>
    <w:p>
      <w:pPr>
        <w:keepLines/>
        <w:spacing w:before="0" w:after="80" w:line="290" w:lineRule="auto"/>
        <w:numPr>
          <w:ilvl w:val="0"/>
          <w:numId w:val="10"/>
        </w:numPr>
      </w:pPr>
      <w:r>
        <w:rPr>
          <w:rFonts w:ascii="Calibri" w:hAnsi="Calibri"/>
          <w:b/>
          <w:color w:val="243447"/>
          <w:sz w:val="22"/>
        </w:rPr>
        <w:t xml:space="preserve">Reduce hallucination exposure. </w:t>
      </w:r>
      <w:r>
        <w:rPr>
          <w:rFonts w:ascii="Calibri" w:hAnsi="Calibri"/>
          <w:color w:val="243447"/>
          <w:sz w:val="22"/>
        </w:rPr>
        <w:t>Use deterministic and grounded methods where they are more appropriate; reserve generative reasoning for tasks that genuinely require it; validate or escalate high-risk outputs.</w:t>
      </w:r>
    </w:p>
    <w:p>
      <w:pPr>
        <w:keepLines/>
        <w:spacing w:before="0" w:after="80" w:line="290" w:lineRule="auto"/>
        <w:numPr>
          <w:ilvl w:val="0"/>
          <w:numId w:val="10"/>
        </w:numPr>
      </w:pPr>
      <w:r>
        <w:rPr>
          <w:rFonts w:ascii="Calibri" w:hAnsi="Calibri"/>
          <w:b/>
          <w:color w:val="243447"/>
          <w:sz w:val="22"/>
        </w:rPr>
        <w:t xml:space="preserve">Reduce token consumption. </w:t>
      </w:r>
      <w:r>
        <w:rPr>
          <w:rFonts w:ascii="Calibri" w:hAnsi="Calibri"/>
          <w:color w:val="243447"/>
          <w:sz w:val="22"/>
        </w:rPr>
        <w:t>Avoid repeatedly sending large prompts and complete datasets to LLMs when parsing, retrieval, rules or cached processing can complete the work.</w:t>
      </w:r>
    </w:p>
    <w:p>
      <w:pPr>
        <w:keepLines/>
        <w:spacing w:before="0" w:after="80" w:line="290" w:lineRule="auto"/>
        <w:numPr>
          <w:ilvl w:val="0"/>
          <w:numId w:val="10"/>
        </w:numPr>
      </w:pPr>
      <w:r>
        <w:rPr>
          <w:rFonts w:ascii="Calibri" w:hAnsi="Calibri"/>
          <w:b/>
          <w:color w:val="243447"/>
          <w:sz w:val="22"/>
        </w:rPr>
        <w:t xml:space="preserve">Optimise compute. </w:t>
      </w:r>
      <w:r>
        <w:rPr>
          <w:rFonts w:ascii="Calibri" w:hAnsi="Calibri"/>
          <w:color w:val="243447"/>
          <w:sz w:val="22"/>
        </w:rPr>
        <w:t>Match workload complexity to model size and execution method, including local, edge and cloud options.</w:t>
      </w:r>
    </w:p>
    <w:p>
      <w:pPr>
        <w:keepLines/>
        <w:spacing w:before="0" w:after="80" w:line="290" w:lineRule="auto"/>
        <w:numPr>
          <w:ilvl w:val="0"/>
          <w:numId w:val="10"/>
        </w:numPr>
      </w:pPr>
      <w:r>
        <w:rPr>
          <w:rFonts w:ascii="Calibri" w:hAnsi="Calibri"/>
          <w:b/>
          <w:color w:val="243447"/>
          <w:sz w:val="22"/>
        </w:rPr>
        <w:t xml:space="preserve">Optimise power and infrastructure utilisation. </w:t>
      </w:r>
      <w:r>
        <w:rPr>
          <w:rFonts w:ascii="Calibri" w:hAnsi="Calibri"/>
          <w:color w:val="243447"/>
          <w:sz w:val="22"/>
        </w:rPr>
        <w:t>Measure workload-level compute and energy proxies where telemetry is available, then improve routing and scheduling.</w:t>
      </w:r>
    </w:p>
    <w:p>
      <w:pPr>
        <w:keepLines/>
        <w:spacing w:before="0" w:after="80" w:line="290" w:lineRule="auto"/>
        <w:numPr>
          <w:ilvl w:val="0"/>
          <w:numId w:val="10"/>
        </w:numPr>
      </w:pPr>
      <w:r>
        <w:rPr>
          <w:rFonts w:ascii="Calibri" w:hAnsi="Calibri"/>
          <w:b/>
          <w:color w:val="243447"/>
          <w:sz w:val="22"/>
        </w:rPr>
        <w:t xml:space="preserve">Improve reliability. </w:t>
      </w:r>
      <w:r>
        <w:rPr>
          <w:rFonts w:ascii="Calibri" w:hAnsi="Calibri"/>
          <w:color w:val="243447"/>
          <w:sz w:val="22"/>
        </w:rPr>
        <w:t>Introduce validation, confidence thresholds, audit trails, checkpoints, retries and human escalation.</w:t>
      </w:r>
    </w:p>
    <w:p>
      <w:pPr>
        <w:keepLines w:val="0"/>
        <w:spacing w:before="0" w:after="160" w:line="320" w:lineRule="auto"/>
      </w:pPr>
      <w:r>
        <w:rPr>
          <w:rFonts w:ascii="Calibri" w:hAnsi="Calibri"/>
          <w:b w:val="0"/>
          <w:i/>
          <w:color w:val="65758B"/>
          <w:sz w:val="19"/>
        </w:rPr>
        <w:t>NeuralOps is designed to reduce hallucination exposure; it does not claim to eliminate hallucination in all scenarios. Any performance, cost, token or energy benefit must be measured against an agreed baseline and independently reviewed where required.</w:t>
      </w:r>
    </w:p>
    <w:p>
      <w:r>
        <w:br w:type="page"/>
      </w:r>
    </w:p>
    <w:p>
      <w:pPr>
        <w:pStyle w:val="Heading1"/>
        <w:keepNext/>
      </w:pPr>
      <w:r>
        <w:t>4. Partnership Proposition</w:t>
      </w:r>
    </w:p>
    <w:tbl>
      <w:tblPr>
        <w:tblW w:type="dxa" w:w="9360"/>
        <w:tblLayout w:type="fixed"/>
        <w:tblLook w:firstColumn="1" w:firstRow="1" w:lastColumn="0" w:lastRow="0" w:noHBand="0" w:noVBand="1" w:val="04A0"/>
        <w:jc w:val="left"/>
        <w:tblInd w:w="120" w:type="dxa"/>
        <w:tblBorders>
          <w:top w:val="single" w:sz="6" w:space="0" w:color="D7DEE8"/>
          <w:left w:val="single" w:sz="6" w:space="0" w:color="D7DEE8"/>
          <w:bottom w:val="single" w:sz="6" w:space="0" w:color="D7DEE8"/>
          <w:right w:val="single" w:sz="6" w:space="0" w:color="D7DEE8"/>
          <w:insideH w:val="single" w:sz="6" w:space="0" w:color="D7DEE8"/>
          <w:insideV w:val="single" w:sz="6" w:space="0" w:color="D7DEE8"/>
        </w:tblBorders>
      </w:tblPr>
      <w:tblGrid>
        <w:gridCol w:w="1500"/>
        <w:gridCol w:w="3990"/>
        <w:gridCol w:w="3870"/>
      </w:tblGrid>
      <w:tr>
        <w:trPr>
          <w:cantSplit w:val="true"/>
          <w:tblHeader w:val="true"/>
        </w:trPr>
        <w:tc>
          <w:tcPr>
            <w:tcW w:type="dxa" w:w="150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Party</w:t>
            </w:r>
          </w:p>
        </w:tc>
        <w:tc>
          <w:tcPr>
            <w:tcW w:type="dxa" w:w="399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Core Contribution</w:t>
            </w:r>
          </w:p>
        </w:tc>
        <w:tc>
          <w:tcPr>
            <w:tcW w:type="dxa" w:w="387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Strategic Value</w:t>
            </w:r>
          </w:p>
        </w:tc>
      </w:tr>
      <w:tr>
        <w:trPr>
          <w:cantSplit w:val="true"/>
        </w:trPr>
        <w:tc>
          <w:tcPr>
            <w:tcW w:type="dxa" w:w="1500"/>
            <w:tcMar>
              <w:top w:w="80" w:type="dxa"/>
              <w:start w:w="120" w:type="dxa"/>
              <w:bottom w:w="80" w:type="dxa"/>
              <w:end w:w="120" w:type="dxa"/>
            </w:tcMar>
            <w:vAlign w:val="center"/>
          </w:tcPr>
          <w:p>
            <w:pPr>
              <w:spacing w:before="0" w:after="0" w:line="259" w:lineRule="auto"/>
              <w:jc w:val="center"/>
            </w:pPr>
            <w:r>
              <w:t>MIGHT</w:t>
            </w:r>
          </w:p>
        </w:tc>
        <w:tc>
          <w:tcPr>
            <w:tcW w:type="dxa" w:w="3990"/>
            <w:tcMar>
              <w:top w:w="80" w:type="dxa"/>
              <w:start w:w="120" w:type="dxa"/>
              <w:bottom w:w="80" w:type="dxa"/>
              <w:end w:w="120" w:type="dxa"/>
            </w:tcMar>
            <w:vAlign w:val="center"/>
          </w:tcPr>
          <w:p>
            <w:pPr>
              <w:spacing w:before="0" w:after="0" w:line="259" w:lineRule="auto"/>
              <w:jc w:val="left"/>
            </w:pPr>
            <w:r>
              <w:t>Strategic facilitation, technology ecosystem access, advisory, validation networks, partner linkage, internationalisation and commercialisation support.</w:t>
            </w:r>
          </w:p>
        </w:tc>
        <w:tc>
          <w:tcPr>
            <w:tcW w:type="dxa" w:w="3870"/>
            <w:tcMar>
              <w:top w:w="80" w:type="dxa"/>
              <w:start w:w="120" w:type="dxa"/>
              <w:bottom w:w="80" w:type="dxa"/>
              <w:end w:w="120" w:type="dxa"/>
            </w:tcMar>
            <w:vAlign w:val="center"/>
          </w:tcPr>
          <w:p>
            <w:pPr>
              <w:spacing w:before="0" w:after="0" w:line="259" w:lineRule="auto"/>
              <w:jc w:val="left"/>
            </w:pPr>
            <w:r>
              <w:t>Provides institutional leverage and converts the consortium into a credible Malaysia-Saudi programme.</w:t>
            </w:r>
          </w:p>
        </w:tc>
      </w:tr>
      <w:tr>
        <w:trPr>
          <w:cantSplit w:val="true"/>
        </w:trPr>
        <w:tc>
          <w:tcPr>
            <w:tcW w:type="dxa" w:w="1500"/>
            <w:shd w:fill="F4F6F9"/>
            <w:tcMar>
              <w:top w:w="80" w:type="dxa"/>
              <w:start w:w="120" w:type="dxa"/>
              <w:bottom w:w="80" w:type="dxa"/>
              <w:end w:w="120" w:type="dxa"/>
            </w:tcMar>
            <w:vAlign w:val="center"/>
          </w:tcPr>
          <w:p>
            <w:pPr>
              <w:spacing w:before="0" w:after="0" w:line="259" w:lineRule="auto"/>
              <w:jc w:val="center"/>
            </w:pPr>
            <w:r>
              <w:t>AINNA</w:t>
            </w:r>
          </w:p>
        </w:tc>
        <w:tc>
          <w:tcPr>
            <w:tcW w:type="dxa" w:w="3990"/>
            <w:shd w:fill="F4F6F9"/>
            <w:tcMar>
              <w:top w:w="80" w:type="dxa"/>
              <w:start w:w="120" w:type="dxa"/>
              <w:bottom w:w="80" w:type="dxa"/>
              <w:end w:w="120" w:type="dxa"/>
            </w:tcMar>
            <w:vAlign w:val="center"/>
          </w:tcPr>
          <w:p>
            <w:pPr>
              <w:spacing w:before="0" w:after="0" w:line="259" w:lineRule="auto"/>
              <w:jc w:val="left"/>
            </w:pPr>
            <w:r>
              <w:t>NeuralOps IP, product architecture, AI agents, smart routing, parsers, detached systems, integration, sector solutions and technical delivery.</w:t>
            </w:r>
          </w:p>
        </w:tc>
        <w:tc>
          <w:tcPr>
            <w:tcW w:type="dxa" w:w="3870"/>
            <w:shd w:fill="F4F6F9"/>
            <w:tcMar>
              <w:top w:w="80" w:type="dxa"/>
              <w:start w:w="120" w:type="dxa"/>
              <w:bottom w:w="80" w:type="dxa"/>
              <w:end w:w="120" w:type="dxa"/>
            </w:tcMar>
            <w:vAlign w:val="center"/>
          </w:tcPr>
          <w:p>
            <w:pPr>
              <w:spacing w:before="0" w:after="0" w:line="259" w:lineRule="auto"/>
              <w:jc w:val="left"/>
            </w:pPr>
            <w:r>
              <w:t>Provides the core technology and execution layer that converts infrastructure into efficient operational outcomes.</w:t>
            </w:r>
          </w:p>
        </w:tc>
      </w:tr>
      <w:tr>
        <w:trPr>
          <w:cantSplit w:val="true"/>
        </w:trPr>
        <w:tc>
          <w:tcPr>
            <w:tcW w:type="dxa" w:w="1500"/>
            <w:tcMar>
              <w:top w:w="80" w:type="dxa"/>
              <w:start w:w="120" w:type="dxa"/>
              <w:bottom w:w="80" w:type="dxa"/>
              <w:end w:w="120" w:type="dxa"/>
            </w:tcMar>
            <w:vAlign w:val="center"/>
          </w:tcPr>
          <w:p>
            <w:pPr>
              <w:spacing w:before="0" w:after="0" w:line="259" w:lineRule="auto"/>
              <w:jc w:val="center"/>
            </w:pPr>
            <w:r>
              <w:t>TAFE JD</w:t>
            </w:r>
          </w:p>
        </w:tc>
        <w:tc>
          <w:tcPr>
            <w:tcW w:type="dxa" w:w="3990"/>
            <w:tcMar>
              <w:top w:w="80" w:type="dxa"/>
              <w:start w:w="120" w:type="dxa"/>
              <w:bottom w:w="80" w:type="dxa"/>
              <w:end w:w="120" w:type="dxa"/>
            </w:tcMar>
            <w:vAlign w:val="center"/>
          </w:tcPr>
          <w:p>
            <w:pPr>
              <w:spacing w:before="0" w:after="0" w:line="259" w:lineRule="auto"/>
              <w:jc w:val="left"/>
            </w:pPr>
            <w:r>
              <w:t>Saudi market-entry, business establishment, regulatory coordination, government relations, localisation, PMO, industrial support, partner matching and operational setup.</w:t>
            </w:r>
          </w:p>
        </w:tc>
        <w:tc>
          <w:tcPr>
            <w:tcW w:type="dxa" w:w="3870"/>
            <w:tcMar>
              <w:top w:w="80" w:type="dxa"/>
              <w:start w:w="120" w:type="dxa"/>
              <w:bottom w:w="80" w:type="dxa"/>
              <w:end w:w="120" w:type="dxa"/>
            </w:tcMar>
            <w:vAlign w:val="center"/>
          </w:tcPr>
          <w:p>
            <w:pPr>
              <w:spacing w:before="0" w:after="0" w:line="259" w:lineRule="auto"/>
              <w:jc w:val="left"/>
            </w:pPr>
            <w:r>
              <w:t>Provides in-Kingdom execution capability, local market access and a practical path from programme concept to Saudi operations.</w:t>
            </w:r>
          </w:p>
        </w:tc>
      </w:tr>
      <w:tr>
        <w:tc>
          <w:tcPr>
            <w:tcW w:type="dxa" w:w="1500"/>
          </w:tcPr>
          <w:p>
            <w:r>
              <w:t>PCG Edge</w:t>
            </w:r>
          </w:p>
        </w:tc>
        <w:tc>
          <w:tcPr>
            <w:tcW w:type="dxa" w:w="3990"/>
          </w:tcPr>
          <w:p>
            <w:r>
              <w:t>Deal sourcing and analysis, investment discipline, commercial structuring, capital-pathway development, due diligence and regional expansion support.</w:t>
            </w:r>
          </w:p>
        </w:tc>
        <w:tc>
          <w:tcPr>
            <w:tcW w:type="dxa" w:w="3870"/>
          </w:tcPr>
          <w:p>
            <w:r>
              <w:t>Strengthens bankability, investment readiness, commercial discipline and scaling pathways for the programme.</w:t>
            </w:r>
          </w:p>
        </w:tc>
      </w:tr>
      <w:tr>
        <w:tc>
          <w:tcPr>
            <w:tcW w:type="dxa" w:w="1500"/>
          </w:tcPr>
          <w:p>
            <w:r>
              <w:t>Saudi host, infrastructure &amp; sector partners</w:t>
            </w:r>
          </w:p>
        </w:tc>
        <w:tc>
          <w:tcPr>
            <w:tcW w:type="dxa" w:w="3990"/>
          </w:tcPr>
          <w:p>
            <w:r>
              <w:t>Cloud/data-centre capacity, Arabic/local capability, sector environments, governed data access, talent, procurement channels and deployment hosts.</w:t>
            </w:r>
          </w:p>
        </w:tc>
        <w:tc>
          <w:tcPr>
            <w:tcW w:type="dxa" w:w="3870"/>
          </w:tcPr>
          <w:p>
            <w:r>
              <w:t>Provide the sovereign infrastructure and operational environments required to build and deploy NeuralOps at meaningful scale.</w:t>
            </w:r>
          </w:p>
        </w:tc>
      </w:tr>
    </w:tbl>
    <w:p>
      <w:pPr>
        <w:keepLines w:val="0"/>
        <w:spacing w:before="0" w:after="60" w:line="320" w:lineRule="auto"/>
      </w:pPr>
      <w:r>
        <w:rPr>
          <w:rFonts w:ascii="Calibri" w:hAnsi="Calibri"/>
          <w:b w:val="0"/>
          <w:i w:val="0"/>
          <w:color w:val="243447"/>
          <w:sz w:val="4"/>
        </w:rPr>
      </w:r>
    </w:p>
    <w:tbl>
      <w:tblPr>
        <w:tblW w:type="dxa" w:w="9360"/>
        <w:jc w:val="left"/>
        <w:tblLayout w:type="fixed"/>
        <w:tblLook w:firstColumn="1" w:firstRow="1" w:lastColumn="0" w:lastRow="0" w:noHBand="0" w:noVBand="1" w:val="04A0"/>
        <w:tblInd w:w="120" w:type="dxa"/>
        <w:tblBorders>
          <w:top w:val="single" w:sz="8" w:space="0" w:color="D7DEE8"/>
          <w:left w:val="single" w:sz="8" w:space="0" w:color="D7DEE8"/>
          <w:bottom w:val="single" w:sz="8" w:space="0" w:color="D7DEE8"/>
          <w:right w:val="single" w:sz="8" w:space="0" w:color="D7DEE8"/>
          <w:insideH w:val="single" w:sz="8" w:space="0" w:color="D7DEE8"/>
          <w:insideV w:val="single" w:sz="8" w:space="0" w:color="D7DEE8"/>
        </w:tblBorders>
      </w:tblPr>
      <w:tblGrid>
        <w:gridCol w:w="9360"/>
      </w:tblGrid>
      <w:tr>
        <w:trPr>
          <w:cantSplit w:val="true"/>
        </w:trPr>
        <w:tc>
          <w:tcPr>
            <w:tcW w:type="dxa" w:w="9360"/>
            <w:tcMar>
              <w:top w:w="150" w:type="dxa"/>
              <w:start w:w="180" w:type="dxa"/>
              <w:bottom w:w="150" w:type="dxa"/>
              <w:end w:w="180" w:type="dxa"/>
            </w:tcMar>
            <w:vAlign w:val="center"/>
            <w:shd w:fill="FFF8E8"/>
          </w:tcPr>
          <w:p>
            <w:pPr>
              <w:spacing w:before="0" w:after="40" w:line="283" w:lineRule="auto"/>
            </w:pPr>
            <w:r>
              <w:rPr>
                <w:rFonts w:ascii="Calibri" w:hAnsi="Calibri"/>
                <w:b/>
                <w:color w:val="C69214"/>
                <w:sz w:val="19"/>
              </w:rPr>
              <w:t>STRATEGIC FORMULA  MIGHT strategic leverage + AINNA NeuralOps technology + TAFE JD Saudi execution + PCG Edge investment/commercial leverage + Saudi infrastructure and industry partners = a more credible, bankable, locally executable and scalable AI deployment programme.</w:t>
            </w:r>
          </w:p>
        </w:tc>
      </w:tr>
    </w:tbl>
    <w:p>
      <w:pPr>
        <w:keepLines w:val="0"/>
        <w:spacing w:before="0" w:after="60" w:line="320" w:lineRule="auto"/>
      </w:pPr>
      <w:r>
        <w:rPr>
          <w:rFonts w:ascii="Calibri" w:hAnsi="Calibri"/>
          <w:b w:val="0"/>
          <w:i w:val="0"/>
          <w:color w:val="243447"/>
          <w:sz w:val="4"/>
        </w:rPr>
      </w:r>
    </w:p>
    <w:p>
      <w:pPr>
        <w:pStyle w:val="Heading1"/>
        <w:keepNext/>
      </w:pPr>
      <w:r>
        <w:t>5. Leverage Requested from MIGHT</w:t>
      </w:r>
    </w:p>
    <w:p>
      <w:pPr>
        <w:keepLines w:val="0"/>
        <w:spacing w:before="0" w:after="160" w:line="320" w:lineRule="auto"/>
      </w:pPr>
      <w:r>
        <w:rPr>
          <w:rFonts w:ascii="Calibri" w:hAnsi="Calibri"/>
          <w:b w:val="0"/>
          <w:i w:val="0"/>
          <w:color w:val="243447"/>
          <w:sz w:val="22"/>
        </w:rPr>
        <w:t>AINNA requests MIGHT to serve as the strategic enabler and ecosystem bridge for the proposed consortium programme. The requested support is as follows:</w:t>
      </w:r>
    </w:p>
    <w:p>
      <w:pPr>
        <w:keepLines/>
        <w:spacing w:before="0" w:after="80" w:line="290" w:lineRule="auto"/>
        <w:numPr>
          <w:ilvl w:val="0"/>
          <w:numId w:val="13"/>
        </w:numPr>
      </w:pPr>
      <w:r>
        <w:rPr>
          <w:rFonts w:ascii="Calibri" w:hAnsi="Calibri"/>
          <w:b/>
          <w:color w:val="243447"/>
          <w:sz w:val="22"/>
        </w:rPr>
        <w:t xml:space="preserve">Strategic sponsorship and positioning. </w:t>
      </w:r>
      <w:r>
        <w:rPr>
          <w:rFonts w:ascii="Calibri" w:hAnsi="Calibri"/>
          <w:color w:val="243447"/>
          <w:sz w:val="22"/>
        </w:rPr>
        <w:t>Help position NeuralOps as a Malaysian-developed AI optimisation architecture for government, enterprise and industry, not only for SMEs.</w:t>
      </w:r>
    </w:p>
    <w:p>
      <w:pPr>
        <w:keepLines/>
        <w:spacing w:before="0" w:after="80" w:line="290" w:lineRule="auto"/>
        <w:numPr>
          <w:ilvl w:val="0"/>
          <w:numId w:val="13"/>
        </w:numPr>
      </w:pPr>
      <w:r>
        <w:rPr>
          <w:rFonts w:ascii="Calibri" w:hAnsi="Calibri"/>
          <w:b/>
          <w:color w:val="243447"/>
          <w:sz w:val="22"/>
        </w:rPr>
        <w:t>Saudi stakeholder access. Facilitate introductions for the AINNA-TAFE JD-PCG Edge consortium to relevant Saudi government, AI, infrastructure, research, industry, investment and commercial organisations.</w:t>
      </w:r>
    </w:p>
    <w:p>
      <w:pPr>
        <w:keepLines/>
        <w:spacing w:before="0" w:after="80" w:line="290" w:lineRule="auto"/>
        <w:numPr>
          <w:ilvl w:val="0"/>
          <w:numId w:val="13"/>
        </w:numPr>
      </w:pPr>
      <w:r>
        <w:rPr>
          <w:rFonts w:ascii="Calibri" w:hAnsi="Calibri"/>
          <w:b/>
          <w:color w:val="243447"/>
          <w:sz w:val="22"/>
        </w:rPr>
        <w:t>Programme and consortium structuring. Assist in converting this proposal into an agreed joint-development framework, partner map, responsibility matrix, work plan, budget, governance model and MoU that explicitly defines AINNA, TAFE JD and PCG Edge roles.</w:t>
      </w:r>
    </w:p>
    <w:p>
      <w:pPr>
        <w:keepLines/>
        <w:spacing w:before="0" w:after="80" w:line="290" w:lineRule="auto"/>
        <w:numPr>
          <w:ilvl w:val="0"/>
          <w:numId w:val="13"/>
        </w:numPr>
      </w:pPr>
      <w:r>
        <w:rPr>
          <w:rFonts w:ascii="Calibri" w:hAnsi="Calibri"/>
          <w:b/>
          <w:color w:val="243447"/>
          <w:sz w:val="22"/>
        </w:rPr>
        <w:t xml:space="preserve">Technology validation network. </w:t>
      </w:r>
      <w:r>
        <w:rPr>
          <w:rFonts w:ascii="Calibri" w:hAnsi="Calibri"/>
          <w:color w:val="243447"/>
          <w:sz w:val="22"/>
        </w:rPr>
        <w:t>Connect AINNA with suitable technical experts, universities, laboratories or industry reviewers to define credible evaluation methods.</w:t>
      </w:r>
    </w:p>
    <w:p>
      <w:pPr>
        <w:keepLines/>
        <w:spacing w:before="0" w:after="80" w:line="290" w:lineRule="auto"/>
        <w:numPr>
          <w:ilvl w:val="0"/>
          <w:numId w:val="13"/>
        </w:numPr>
      </w:pPr>
      <w:r>
        <w:rPr>
          <w:rFonts w:ascii="Calibri" w:hAnsi="Calibri"/>
          <w:b/>
          <w:color w:val="243447"/>
          <w:sz w:val="22"/>
        </w:rPr>
        <w:t>Funding and investment pathways. Identify grants, bilateral programmes, corporate co-development, strategic investment, infrastructure credits and commercial funding mechanisms, coordinated with the consortium's investment and commercial workstream.</w:t>
      </w:r>
    </w:p>
    <w:p>
      <w:pPr>
        <w:keepLines/>
        <w:spacing w:before="0" w:after="80" w:line="290" w:lineRule="auto"/>
        <w:numPr>
          <w:ilvl w:val="0"/>
          <w:numId w:val="13"/>
        </w:numPr>
      </w:pPr>
      <w:r>
        <w:rPr>
          <w:rFonts w:ascii="Calibri" w:hAnsi="Calibri"/>
          <w:b/>
          <w:color w:val="243447"/>
          <w:sz w:val="22"/>
        </w:rPr>
        <w:t xml:space="preserve">Commercialisation and internationalisation. </w:t>
      </w:r>
      <w:r>
        <w:rPr>
          <w:rFonts w:ascii="Calibri" w:hAnsi="Calibri"/>
          <w:color w:val="243447"/>
          <w:sz w:val="22"/>
        </w:rPr>
        <w:t>Support a pathway from development to Saudi procurement, local partnerships, GCC expansion and international market positioning.</w:t>
      </w:r>
    </w:p>
    <w:p>
      <w:pPr>
        <w:keepLines/>
        <w:spacing w:before="0" w:after="80" w:line="290" w:lineRule="auto"/>
        <w:numPr>
          <w:ilvl w:val="0"/>
          <w:numId w:val="13"/>
        </w:numPr>
      </w:pPr>
      <w:r>
        <w:rPr>
          <w:rFonts w:ascii="Calibri" w:hAnsi="Calibri"/>
          <w:b/>
          <w:color w:val="243447"/>
          <w:sz w:val="22"/>
        </w:rPr>
        <w:t xml:space="preserve">Academia, talent and capability building. </w:t>
      </w:r>
      <w:r>
        <w:rPr>
          <w:rFonts w:ascii="Calibri" w:hAnsi="Calibri"/>
          <w:color w:val="243447"/>
          <w:sz w:val="22"/>
        </w:rPr>
        <w:t>Facilitate links for Arabic AI, sector research, skills development and knowledge transfer.</w:t>
      </w:r>
    </w:p>
    <w:p>
      <w:pPr>
        <w:keepLines/>
        <w:spacing w:before="0" w:after="80" w:line="290" w:lineRule="auto"/>
        <w:numPr>
          <w:ilvl w:val="0"/>
          <w:numId w:val="13"/>
        </w:numPr>
      </w:pPr>
      <w:r>
        <w:rPr>
          <w:rFonts w:ascii="Calibri" w:hAnsi="Calibri"/>
          <w:b/>
          <w:color w:val="243447"/>
          <w:sz w:val="22"/>
        </w:rPr>
        <w:t xml:space="preserve">Strategic advisory. </w:t>
      </w:r>
      <w:r>
        <w:rPr>
          <w:rFonts w:ascii="Calibri" w:hAnsi="Calibri"/>
          <w:color w:val="243447"/>
          <w:sz w:val="22"/>
        </w:rPr>
        <w:t>Provide guidance on stakeholder sequencing, market-entry risks, partnership structure and alignment with Malaysian and Saudi priorities.</w:t>
      </w:r>
    </w:p>
    <w:tbl>
      <w:tblPr>
        <w:tblW w:type="dxa" w:w="9360"/>
        <w:jc w:val="left"/>
        <w:tblLayout w:type="fixed"/>
        <w:tblLook w:firstColumn="1" w:firstRow="1" w:lastColumn="0" w:lastRow="0" w:noHBand="0" w:noVBand="1" w:val="04A0"/>
        <w:tblInd w:w="120" w:type="dxa"/>
        <w:tblBorders>
          <w:top w:val="single" w:sz="8" w:space="0" w:color="D7DEE8"/>
          <w:left w:val="single" w:sz="8" w:space="0" w:color="D7DEE8"/>
          <w:bottom w:val="single" w:sz="8" w:space="0" w:color="D7DEE8"/>
          <w:right w:val="single" w:sz="8" w:space="0" w:color="D7DEE8"/>
          <w:insideH w:val="single" w:sz="8" w:space="0" w:color="D7DEE8"/>
          <w:insideV w:val="single" w:sz="8" w:space="0" w:color="D7DEE8"/>
        </w:tblBorders>
      </w:tblPr>
      <w:tblGrid>
        <w:gridCol w:w="9360"/>
      </w:tblGrid>
      <w:tr>
        <w:trPr>
          <w:cantSplit w:val="true"/>
        </w:trPr>
        <w:tc>
          <w:tcPr>
            <w:tcW w:type="dxa" w:w="9360"/>
            <w:tcMar>
              <w:top w:w="150" w:type="dxa"/>
              <w:start w:w="180" w:type="dxa"/>
              <w:bottom w:w="150" w:type="dxa"/>
              <w:end w:w="180" w:type="dxa"/>
            </w:tcMar>
            <w:vAlign w:val="center"/>
            <w:shd w:fill="F4F6F9"/>
          </w:tcPr>
          <w:p>
            <w:pPr>
              <w:spacing w:before="0" w:after="40" w:line="283" w:lineRule="auto"/>
            </w:pPr>
            <w:r>
              <w:rPr>
                <w:rFonts w:ascii="Calibri" w:hAnsi="Calibri"/>
                <w:b/>
                <w:color w:val="C69214"/>
                <w:sz w:val="19"/>
              </w:rPr>
              <w:t xml:space="preserve">CLARIFICATION  </w:t>
            </w:r>
            <w:r>
              <w:rPr>
                <w:rFonts w:ascii="Calibri" w:hAnsi="Calibri"/>
                <w:b/>
                <w:color w:val="0B2545"/>
                <w:sz w:val="22"/>
              </w:rPr>
              <w:t>AINNA is not positioning MIGHT solely as a direct funding source. MIGHT's highest-value role is strategic access, facilitation, validation, partnership formation and commercialisation.</w:t>
            </w:r>
          </w:p>
        </w:tc>
      </w:tr>
    </w:tbl>
    <w:p>
      <w:pPr>
        <w:keepLines w:val="0"/>
        <w:spacing w:before="0" w:after="60" w:line="320" w:lineRule="auto"/>
      </w:pPr>
      <w:r>
        <w:rPr>
          <w:rFonts w:ascii="Calibri" w:hAnsi="Calibri"/>
          <w:b w:val="0"/>
          <w:i w:val="0"/>
          <w:color w:val="243447"/>
          <w:sz w:val="4"/>
        </w:rPr>
      </w:r>
    </w:p>
    <w:p>
      <w:pPr>
        <w:pStyle w:val="Heading1"/>
        <w:keepNext/>
      </w:pPr>
      <w:r>
        <w:t>6. Leverage AINNA Can Obtain from KSA</w:t>
      </w:r>
    </w:p>
    <w:p>
      <w:pPr>
        <w:keepLines/>
        <w:spacing w:before="0" w:after="80" w:line="290" w:lineRule="auto"/>
        <w:numPr>
          <w:ilvl w:val="0"/>
          <w:numId w:val="10"/>
        </w:numPr>
      </w:pPr>
      <w:r>
        <w:rPr>
          <w:rFonts w:ascii="Calibri" w:hAnsi="Calibri"/>
          <w:b/>
          <w:color w:val="243447"/>
          <w:sz w:val="22"/>
        </w:rPr>
        <w:t xml:space="preserve">AI and cloud infrastructure. </w:t>
      </w:r>
      <w:r>
        <w:rPr>
          <w:rFonts w:ascii="Calibri" w:hAnsi="Calibri"/>
          <w:color w:val="243447"/>
          <w:sz w:val="22"/>
        </w:rPr>
        <w:t>Data centres, cloud regions, accelerators, high-performance computing and network capacity can support larger and more resilient deployments.</w:t>
      </w:r>
    </w:p>
    <w:p>
      <w:pPr>
        <w:keepLines/>
        <w:spacing w:before="0" w:after="80" w:line="290" w:lineRule="auto"/>
        <w:numPr>
          <w:ilvl w:val="0"/>
          <w:numId w:val="10"/>
        </w:numPr>
      </w:pPr>
      <w:r>
        <w:rPr>
          <w:rFonts w:ascii="Calibri" w:hAnsi="Calibri"/>
          <w:b/>
          <w:color w:val="243447"/>
          <w:sz w:val="22"/>
        </w:rPr>
        <w:t xml:space="preserve">Arabic and local AI capability. </w:t>
      </w:r>
      <w:r>
        <w:rPr>
          <w:rFonts w:ascii="Calibri" w:hAnsi="Calibri"/>
          <w:color w:val="243447"/>
          <w:sz w:val="22"/>
        </w:rPr>
        <w:t>Arabic-first models, local datasets, Saudi terminology and culturally appropriate workflows can strengthen localisation and adoption.</w:t>
      </w:r>
    </w:p>
    <w:p>
      <w:pPr>
        <w:keepLines/>
        <w:spacing w:before="0" w:after="80" w:line="290" w:lineRule="auto"/>
        <w:numPr>
          <w:ilvl w:val="0"/>
          <w:numId w:val="10"/>
        </w:numPr>
      </w:pPr>
      <w:r>
        <w:rPr>
          <w:rFonts w:ascii="Calibri" w:hAnsi="Calibri"/>
          <w:b/>
          <w:color w:val="243447"/>
          <w:sz w:val="22"/>
        </w:rPr>
        <w:t xml:space="preserve">Large sector environments. </w:t>
      </w:r>
      <w:r>
        <w:rPr>
          <w:rFonts w:ascii="Calibri" w:hAnsi="Calibri"/>
          <w:color w:val="243447"/>
          <w:sz w:val="22"/>
        </w:rPr>
        <w:t>Government, energy, finance, manufacturing, logistics, tourism, smart infrastructure and other sectors provide meaningful operational use cases.</w:t>
      </w:r>
    </w:p>
    <w:p>
      <w:pPr>
        <w:keepLines/>
        <w:spacing w:before="0" w:after="80" w:line="290" w:lineRule="auto"/>
        <w:numPr>
          <w:ilvl w:val="0"/>
          <w:numId w:val="10"/>
        </w:numPr>
      </w:pPr>
      <w:r>
        <w:rPr>
          <w:rFonts w:ascii="Calibri" w:hAnsi="Calibri"/>
          <w:b/>
          <w:color w:val="243447"/>
          <w:sz w:val="22"/>
        </w:rPr>
        <w:t xml:space="preserve">Technology localisation ecosystem. </w:t>
      </w:r>
      <w:r>
        <w:rPr>
          <w:rFonts w:ascii="Calibri" w:hAnsi="Calibri"/>
          <w:color w:val="243447"/>
          <w:sz w:val="22"/>
        </w:rPr>
        <w:t>Saudi initiatives in local R&amp;D, entrepreneurship and technology development create pathways for local capability and intellectual-property creation.</w:t>
      </w:r>
    </w:p>
    <w:p>
      <w:pPr>
        <w:keepLines/>
        <w:spacing w:before="0" w:after="80" w:line="290" w:lineRule="auto"/>
        <w:numPr>
          <w:ilvl w:val="0"/>
          <w:numId w:val="10"/>
        </w:numPr>
      </w:pPr>
      <w:r>
        <w:rPr>
          <w:rFonts w:ascii="Calibri" w:hAnsi="Calibri"/>
          <w:b/>
          <w:color w:val="243447"/>
          <w:sz w:val="22"/>
        </w:rPr>
        <w:t xml:space="preserve">Investment and commercial capacity. </w:t>
      </w:r>
      <w:r>
        <w:rPr>
          <w:rFonts w:ascii="Calibri" w:hAnsi="Calibri"/>
          <w:color w:val="243447"/>
          <w:sz w:val="22"/>
        </w:rPr>
        <w:t>Strategic capital, corporate budgets and public-private initiatives can support development and adoption when value is demonstrated.</w:t>
      </w:r>
    </w:p>
    <w:p>
      <w:pPr>
        <w:keepLines/>
        <w:spacing w:before="0" w:after="80" w:line="290" w:lineRule="auto"/>
        <w:numPr>
          <w:ilvl w:val="0"/>
          <w:numId w:val="10"/>
        </w:numPr>
      </w:pPr>
      <w:r>
        <w:rPr>
          <w:rFonts w:ascii="Calibri" w:hAnsi="Calibri"/>
          <w:b/>
          <w:color w:val="243447"/>
          <w:sz w:val="22"/>
        </w:rPr>
        <w:t xml:space="preserve">Regional market access. </w:t>
      </w:r>
      <w:r>
        <w:rPr>
          <w:rFonts w:ascii="Calibri" w:hAnsi="Calibri"/>
          <w:color w:val="243447"/>
          <w:sz w:val="22"/>
        </w:rPr>
        <w:t>Saudi Arabia can provide a base for expansion into the GCC and wider Middle East.</w:t>
      </w:r>
    </w:p>
    <w:p>
      <w:pPr>
        <w:keepLines/>
        <w:spacing w:before="0" w:after="80" w:line="290" w:lineRule="auto"/>
        <w:numPr>
          <w:ilvl w:val="0"/>
          <w:numId w:val="10"/>
        </w:numPr>
      </w:pPr>
      <w:r>
        <w:rPr>
          <w:rFonts w:ascii="Calibri" w:hAnsi="Calibri"/>
          <w:b/>
          <w:color w:val="243447"/>
          <w:sz w:val="22"/>
        </w:rPr>
        <w:t xml:space="preserve">Talent and research partnerships. </w:t>
      </w:r>
      <w:r>
        <w:rPr>
          <w:rFonts w:ascii="Calibri" w:hAnsi="Calibri"/>
          <w:color w:val="243447"/>
          <w:sz w:val="22"/>
        </w:rPr>
        <w:t>Universities, technical organisations and industry experts can contribute to Arabic AI, evaluation, sector knowledge and workforce development.</w:t>
      </w:r>
    </w:p>
    <w:p>
      <w:pPr>
        <w:keepLines/>
        <w:spacing w:before="0" w:after="80" w:line="290" w:lineRule="auto"/>
        <w:numPr>
          <w:ilvl w:val="0"/>
          <w:numId w:val="10"/>
        </w:numPr>
      </w:pPr>
      <w:r>
        <w:rPr>
          <w:rFonts w:ascii="Calibri" w:hAnsi="Calibri"/>
          <w:b/>
          <w:color w:val="243447"/>
          <w:sz w:val="22"/>
        </w:rPr>
        <w:t xml:space="preserve">Infrastructure-efficiency opportunity. </w:t>
      </w:r>
      <w:r>
        <w:rPr>
          <w:rFonts w:ascii="Calibri" w:hAnsi="Calibri"/>
          <w:color w:val="243447"/>
          <w:sz w:val="22"/>
        </w:rPr>
        <w:t>The greater the available AI capacity, the greater the need for routing, observability, cost control and energy-aware workload management.</w:t>
      </w:r>
    </w:p>
    <w:p>
      <w:pPr>
        <w:keepLines w:val="0"/>
        <w:spacing w:before="0" w:after="160" w:line="320" w:lineRule="auto"/>
      </w:pPr>
      <w:r>
        <w:rPr>
          <w:rFonts w:ascii="Calibri" w:hAnsi="Calibri"/>
          <w:b w:val="0"/>
          <w:i/>
          <w:color w:val="65758B"/>
          <w:sz w:val="19"/>
        </w:rPr>
        <w:t>Potential stakeholder categories include MCIT, SDAIA, PIF/HUMAIN, cloud and data-centre providers, Saudi universities, industry hosts, investors and systems integrators. TAFE JD is proposed as the consortium's Saudi market-entry and operating partner, while other named Saudi organisations remain ecosystem examples unless separately confirmed. This proposal does not imply a commitment by any illustrative stakeholder.</w:t>
      </w:r>
    </w:p>
    <w:p>
      <w:r>
        <w:br w:type="page"/>
      </w:r>
    </w:p>
    <w:p>
      <w:pPr>
        <w:pStyle w:val="Heading1"/>
        <w:keepNext/>
      </w:pPr>
      <w:r>
        <w:t>7. Proposed Saudi NeuralOps Development Programme</w:t>
      </w:r>
    </w:p>
    <w:p>
      <w:pPr>
        <w:keepLines w:val="0"/>
        <w:spacing w:before="0" w:after="160" w:line="320" w:lineRule="auto"/>
      </w:pPr>
      <w:r>
        <w:rPr>
          <w:rFonts w:ascii="Calibri" w:hAnsi="Calibri"/>
          <w:b w:val="0"/>
          <w:i w:val="0"/>
          <w:color w:val="243447"/>
          <w:sz w:val="22"/>
        </w:rPr>
        <w:t>AINNA proposes an integrated consortium build programme rather than a stand-alone proof-of-concept exercise. The programme will create reusable platform capabilities, Saudi localisation, sector modules, reference deployments and a commercial operating model, with AINNA, TAFE JD and PCG Edge carrying defined technical, local-execution and investment/commercial workstreams.</w:t>
      </w:r>
    </w:p>
    <w:tbl>
      <w:tblPr>
        <w:tblW w:type="dxa" w:w="9360"/>
        <w:tblLayout w:type="fixed"/>
        <w:tblLook w:firstColumn="1" w:firstRow="1" w:lastColumn="0" w:lastRow="0" w:noHBand="0" w:noVBand="1" w:val="04A0"/>
        <w:jc w:val="left"/>
        <w:tblInd w:w="120" w:type="dxa"/>
        <w:tblBorders>
          <w:top w:val="single" w:sz="6" w:space="0" w:color="D7DEE8"/>
          <w:left w:val="single" w:sz="6" w:space="0" w:color="D7DEE8"/>
          <w:bottom w:val="single" w:sz="6" w:space="0" w:color="D7DEE8"/>
          <w:right w:val="single" w:sz="6" w:space="0" w:color="D7DEE8"/>
          <w:insideH w:val="single" w:sz="6" w:space="0" w:color="D7DEE8"/>
          <w:insideV w:val="single" w:sz="6" w:space="0" w:color="D7DEE8"/>
        </w:tblBorders>
      </w:tblPr>
      <w:tblGrid>
        <w:gridCol w:w="1350"/>
        <w:gridCol w:w="2670"/>
        <w:gridCol w:w="2770"/>
        <w:gridCol w:w="2570"/>
      </w:tblGrid>
      <w:tr>
        <w:trPr>
          <w:cantSplit w:val="true"/>
          <w:tblHeader w:val="true"/>
        </w:trPr>
        <w:tc>
          <w:tcPr>
            <w:tcW w:type="dxa" w:w="135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Workstream</w:t>
            </w:r>
          </w:p>
        </w:tc>
        <w:tc>
          <w:tcPr>
            <w:tcW w:type="dxa" w:w="267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Build Scope</w:t>
            </w:r>
          </w:p>
        </w:tc>
        <w:tc>
          <w:tcPr>
            <w:tcW w:type="dxa" w:w="277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Primary Deliverables</w:t>
            </w:r>
          </w:p>
        </w:tc>
        <w:tc>
          <w:tcPr>
            <w:tcW w:type="dxa" w:w="257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Intended Outcome</w:t>
            </w:r>
          </w:p>
        </w:tc>
      </w:tr>
      <w:tr>
        <w:trPr>
          <w:cantSplit w:val="true"/>
        </w:trPr>
        <w:tc>
          <w:tcPr>
            <w:tcW w:type="dxa" w:w="13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1. Saudi NeuralOps Core</w:t>
            </w:r>
          </w:p>
        </w:tc>
        <w:tc>
          <w:tcPr>
            <w:tcW w:type="dxa" w:w="267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Control plane, task classification, policy routing, model gateway and execution engine.</w:t>
            </w:r>
          </w:p>
        </w:tc>
        <w:tc>
          <w:tcPr>
            <w:tcW w:type="dxa" w:w="277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Saudi-ready core platform; APIs; deployment packages; technical documentation.</w:t>
            </w:r>
          </w:p>
        </w:tc>
        <w:tc>
          <w:tcPr>
            <w:tcW w:type="dxa" w:w="257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One orchestration layer for multiple AI and deterministic systems.</w:t>
            </w:r>
          </w:p>
        </w:tc>
      </w:tr>
      <w:tr>
        <w:trPr>
          <w:cantSplit w:val="true"/>
        </w:trPr>
        <w:tc>
          <w:tcPr>
            <w:tcW w:type="dxa" w:w="13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2. Arabic &amp; Localisation</w:t>
            </w:r>
          </w:p>
        </w:tc>
        <w:tc>
          <w:tcPr>
            <w:tcW w:type="dxa" w:w="267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Arabic interfaces, terminology, prompt and retrieval layers, local-model integration and cultural adaptation.</w:t>
            </w:r>
          </w:p>
        </w:tc>
        <w:tc>
          <w:tcPr>
            <w:tcW w:type="dxa" w:w="277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Arabic capability pack; local taxonomy; evaluation datasets; bilingual operations.</w:t>
            </w:r>
          </w:p>
        </w:tc>
        <w:tc>
          <w:tcPr>
            <w:tcW w:type="dxa" w:w="257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Stronger accuracy, usability and local relevance.</w:t>
            </w:r>
          </w:p>
        </w:tc>
      </w:tr>
      <w:tr>
        <w:trPr>
          <w:cantSplit w:val="true"/>
        </w:trPr>
        <w:tc>
          <w:tcPr>
            <w:tcW w:type="dxa" w:w="13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3. Secure Deployment</w:t>
            </w:r>
          </w:p>
        </w:tc>
        <w:tc>
          <w:tcPr>
            <w:tcW w:type="dxa" w:w="267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Private cloud, local hosting, network isolation, identity, audit, encryption and data residency controls.</w:t>
            </w:r>
          </w:p>
        </w:tc>
        <w:tc>
          <w:tcPr>
            <w:tcW w:type="dxa" w:w="277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Reference security architecture; deployment templates; access model; audit logs.</w:t>
            </w:r>
          </w:p>
        </w:tc>
        <w:tc>
          <w:tcPr>
            <w:tcW w:type="dxa" w:w="257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Enterprise and public-sector readiness.</w:t>
            </w:r>
          </w:p>
        </w:tc>
      </w:tr>
      <w:tr>
        <w:trPr>
          <w:cantSplit w:val="true"/>
        </w:trPr>
        <w:tc>
          <w:tcPr>
            <w:tcW w:type="dxa" w:w="13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4. Observability &amp; Efficiency</w:t>
            </w:r>
          </w:p>
        </w:tc>
        <w:tc>
          <w:tcPr>
            <w:tcW w:type="dxa" w:w="267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Measure accuracy, unsupported-output rate, token, latency, compute, cost and energy proxies.</w:t>
            </w:r>
          </w:p>
        </w:tc>
        <w:tc>
          <w:tcPr>
            <w:tcW w:type="dxa" w:w="277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NeuralOps dashboard; baselines; evaluation harness; optimisation reports.</w:t>
            </w:r>
          </w:p>
        </w:tc>
        <w:tc>
          <w:tcPr>
            <w:tcW w:type="dxa" w:w="257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Evidence-based improvement and accountable claims.</w:t>
            </w:r>
          </w:p>
        </w:tc>
      </w:tr>
      <w:tr>
        <w:trPr>
          <w:cantSplit w:val="true"/>
        </w:trPr>
        <w:tc>
          <w:tcPr>
            <w:tcW w:type="dxa" w:w="13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5. Sector Solutions</w:t>
            </w:r>
          </w:p>
        </w:tc>
        <w:tc>
          <w:tcPr>
            <w:tcW w:type="dxa" w:w="267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Reusable connectors, workflows and interfaces for selected Saudi sectors.</w:t>
            </w:r>
          </w:p>
        </w:tc>
        <w:tc>
          <w:tcPr>
            <w:tcW w:type="dxa" w:w="277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Initial sector modules; reference deployments; operating playbooks.</w:t>
            </w:r>
          </w:p>
        </w:tc>
        <w:tc>
          <w:tcPr>
            <w:tcW w:type="dxa" w:w="257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Faster adoption beyond a single use case.</w:t>
            </w:r>
          </w:p>
        </w:tc>
      </w:tr>
      <w:tr>
        <w:trPr>
          <w:cantSplit w:val="true"/>
        </w:trPr>
        <w:tc>
          <w:tcPr>
            <w:tcW w:type="dxa" w:w="13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6. Local Capability &amp; IP</w:t>
            </w:r>
          </w:p>
        </w:tc>
        <w:tc>
          <w:tcPr>
            <w:tcW w:type="dxa" w:w="267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Training, joint engineering, documentation, support capability and agreed IP structure.</w:t>
            </w:r>
          </w:p>
        </w:tc>
        <w:tc>
          <w:tcPr>
            <w:tcW w:type="dxa" w:w="277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Knowledge-transfer plan; local support model; IP and commercial framework.</w:t>
            </w:r>
          </w:p>
        </w:tc>
        <w:tc>
          <w:tcPr>
            <w:tcW w:type="dxa" w:w="257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Sustainable Saudi capability and regional scale.</w:t>
            </w:r>
          </w:p>
        </w:tc>
      </w:tr>
    </w:tbl>
    <w:p>
      <w:pPr>
        <w:keepLines w:val="0"/>
        <w:spacing w:before="0" w:after="60" w:line="320" w:lineRule="auto"/>
      </w:pPr>
      <w:r>
        <w:rPr>
          <w:rFonts w:ascii="Calibri" w:hAnsi="Calibri"/>
          <w:b w:val="0"/>
          <w:i w:val="0"/>
          <w:color w:val="243447"/>
          <w:sz w:val="4"/>
        </w:rPr>
      </w:r>
    </w:p>
    <w:p>
      <w:pPr>
        <w:pStyle w:val="Heading2"/>
        <w:keepNext/>
      </w:pPr>
      <w:r>
        <w:t>7.1 Recommended Initial Development Portfolio</w:t>
      </w:r>
    </w:p>
    <w:p>
      <w:pPr>
        <w:keepLines w:val="0"/>
        <w:spacing w:before="0" w:after="160" w:line="320" w:lineRule="auto"/>
      </w:pPr>
      <w:r>
        <w:rPr>
          <w:rFonts w:ascii="Calibri" w:hAnsi="Calibri"/>
          <w:b w:val="0"/>
          <w:i w:val="0"/>
          <w:color w:val="243447"/>
          <w:sz w:val="22"/>
        </w:rPr>
        <w:t>To reduce complexity and build reusable capabilities, AINNA recommends beginning with three complementary areas where structured data, document processing, operational automation and measurable outcomes are central:</w:t>
      </w:r>
    </w:p>
    <w:p>
      <w:pPr>
        <w:keepLines/>
        <w:spacing w:before="0" w:after="80" w:line="290" w:lineRule="auto"/>
        <w:numPr>
          <w:ilvl w:val="0"/>
          <w:numId w:val="11"/>
        </w:numPr>
      </w:pPr>
      <w:r>
        <w:rPr>
          <w:rFonts w:ascii="Calibri" w:hAnsi="Calibri"/>
          <w:b/>
          <w:color w:val="243447"/>
          <w:sz w:val="22"/>
        </w:rPr>
        <w:t xml:space="preserve">Government and institutional knowledge. </w:t>
      </w:r>
      <w:r>
        <w:rPr>
          <w:rFonts w:ascii="Calibri" w:hAnsi="Calibri"/>
          <w:color w:val="243447"/>
          <w:sz w:val="22"/>
        </w:rPr>
        <w:t>Document intake, retrieval, knowledge continuity, administrative workflows and multilingual service support.</w:t>
      </w:r>
    </w:p>
    <w:p>
      <w:pPr>
        <w:keepLines/>
        <w:spacing w:before="0" w:after="80" w:line="290" w:lineRule="auto"/>
        <w:numPr>
          <w:ilvl w:val="0"/>
          <w:numId w:val="11"/>
        </w:numPr>
      </w:pPr>
      <w:r>
        <w:rPr>
          <w:rFonts w:ascii="Calibri" w:hAnsi="Calibri"/>
          <w:b/>
          <w:color w:val="243447"/>
          <w:sz w:val="22"/>
        </w:rPr>
        <w:t xml:space="preserve">Finance, accounting and compliance operations. </w:t>
      </w:r>
      <w:r>
        <w:rPr>
          <w:rFonts w:ascii="Calibri" w:hAnsi="Calibri"/>
          <w:color w:val="243447"/>
          <w:sz w:val="22"/>
        </w:rPr>
        <w:t>Document extraction, reconciliation, transaction workflows, reporting and reviewer-assisted controls.</w:t>
      </w:r>
    </w:p>
    <w:p>
      <w:pPr>
        <w:keepLines/>
        <w:spacing w:before="0" w:after="80" w:line="290" w:lineRule="auto"/>
        <w:numPr>
          <w:ilvl w:val="0"/>
          <w:numId w:val="11"/>
        </w:numPr>
      </w:pPr>
      <w:r>
        <w:rPr>
          <w:rFonts w:ascii="Calibri" w:hAnsi="Calibri"/>
          <w:b/>
          <w:color w:val="243447"/>
          <w:sz w:val="22"/>
        </w:rPr>
        <w:t xml:space="preserve">Logistics, inventory and industrial operations. </w:t>
      </w:r>
      <w:r>
        <w:rPr>
          <w:rFonts w:ascii="Calibri" w:hAnsi="Calibri"/>
          <w:color w:val="243447"/>
          <w:sz w:val="22"/>
        </w:rPr>
        <w:t>Event processing, inventory intelligence, exception handling, sensor or system integration and operational monitoring.</w:t>
      </w:r>
    </w:p>
    <w:p>
      <w:pPr>
        <w:keepLines w:val="0"/>
        <w:spacing w:before="0" w:after="160" w:line="320" w:lineRule="auto"/>
      </w:pPr>
      <w:r>
        <w:rPr>
          <w:rFonts w:ascii="Calibri" w:hAnsi="Calibri"/>
          <w:b w:val="0"/>
          <w:i w:val="0"/>
          <w:color w:val="243447"/>
          <w:sz w:val="22"/>
        </w:rPr>
        <w:t>The final portfolio should be selected jointly with MIGHT, AINNA, TAFE JD, PCG Edge and the relevant Saudi host partners based on strategic relevance, data availability, partner readiness, regulatory requirements, repeatability and procurement potential.</w:t>
      </w:r>
    </w:p>
    <w:p>
      <w:pPr>
        <w:pStyle w:val="Heading2"/>
        <w:keepNext/>
      </w:pPr>
      <w:r>
        <w:t>7.2 Expansion Sectors</w:t>
      </w:r>
    </w:p>
    <w:tbl>
      <w:tblPr>
        <w:tblW w:type="dxa" w:w="9360"/>
        <w:tblLayout w:type="fixed"/>
        <w:tblLook w:firstColumn="1" w:firstRow="1" w:lastColumn="0" w:lastRow="0" w:noHBand="0" w:noVBand="1" w:val="04A0"/>
        <w:jc w:val="left"/>
        <w:tblInd w:w="120" w:type="dxa"/>
        <w:tblBorders>
          <w:top w:val="single" w:sz="6" w:space="0" w:color="D7DEE8"/>
          <w:left w:val="single" w:sz="6" w:space="0" w:color="D7DEE8"/>
          <w:bottom w:val="single" w:sz="6" w:space="0" w:color="D7DEE8"/>
          <w:right w:val="single" w:sz="6" w:space="0" w:color="D7DEE8"/>
          <w:insideH w:val="single" w:sz="6" w:space="0" w:color="D7DEE8"/>
          <w:insideV w:val="single" w:sz="6" w:space="0" w:color="D7DEE8"/>
        </w:tblBorders>
      </w:tblPr>
      <w:tblGrid>
        <w:gridCol w:w="2250"/>
        <w:gridCol w:w="7110"/>
      </w:tblGrid>
      <w:tr>
        <w:trPr>
          <w:cantSplit w:val="true"/>
          <w:tblHeader w:val="true"/>
        </w:trPr>
        <w:tc>
          <w:tcPr>
            <w:tcW w:type="dxa" w:w="225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Sector</w:t>
            </w:r>
          </w:p>
        </w:tc>
        <w:tc>
          <w:tcPr>
            <w:tcW w:type="dxa" w:w="711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Illustrative Development Scope</w:t>
            </w:r>
          </w:p>
        </w:tc>
      </w:tr>
      <w:tr>
        <w:trPr>
          <w:cantSplit w:val="true"/>
        </w:trPr>
        <w:tc>
          <w:tcPr>
            <w:tcW w:type="dxa" w:w="22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Energy, oil and gas</w:t>
            </w:r>
          </w:p>
        </w:tc>
        <w:tc>
          <w:tcPr>
            <w:tcW w:type="dxa" w:w="711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Asset information workflows, maintenance support, operational knowledge, anomaly triage and resource optimisation.</w:t>
            </w:r>
          </w:p>
        </w:tc>
      </w:tr>
      <w:tr>
        <w:trPr>
          <w:cantSplit w:val="true"/>
        </w:trPr>
        <w:tc>
          <w:tcPr>
            <w:tcW w:type="dxa" w:w="225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8"/>
              </w:rPr>
              <w:t>Manufacturing</w:t>
            </w:r>
          </w:p>
        </w:tc>
        <w:tc>
          <w:tcPr>
            <w:tcW w:type="dxa" w:w="711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Quality workflows, machine-vision orchestration, maintenance knowledge, production monitoring and Industry 4.0 integration.</w:t>
            </w:r>
          </w:p>
        </w:tc>
      </w:tr>
      <w:tr>
        <w:trPr>
          <w:cantSplit w:val="true"/>
        </w:trPr>
        <w:tc>
          <w:tcPr>
            <w:tcW w:type="dxa" w:w="22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Smart cities and infrastructure</w:t>
            </w:r>
          </w:p>
        </w:tc>
        <w:tc>
          <w:tcPr>
            <w:tcW w:type="dxa" w:w="711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IoT integration, video analytics orchestration, public-asset workflows, traffic and incident intelligence.</w:t>
            </w:r>
          </w:p>
        </w:tc>
      </w:tr>
      <w:tr>
        <w:trPr>
          <w:cantSplit w:val="true"/>
        </w:trPr>
        <w:tc>
          <w:tcPr>
            <w:tcW w:type="dxa" w:w="22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Agriculture and livestock</w:t>
            </w:r>
          </w:p>
        </w:tc>
        <w:tc>
          <w:tcPr>
            <w:tcW w:type="dxa" w:w="711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Thermal and visual monitoring, environmental sensor analysis, anomaly alerts and decision-support workflows.</w:t>
            </w:r>
          </w:p>
        </w:tc>
      </w:tr>
      <w:tr>
        <w:trPr>
          <w:cantSplit w:val="true"/>
        </w:trPr>
        <w:tc>
          <w:tcPr>
            <w:tcW w:type="dxa" w:w="22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Retail, e-commerce and tourism</w:t>
            </w:r>
          </w:p>
        </w:tc>
        <w:tc>
          <w:tcPr>
            <w:tcW w:type="dxa" w:w="711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Multilingual agents, inventory, forecasting, customer operations, fulfilment and content automation.</w:t>
            </w:r>
          </w:p>
        </w:tc>
      </w:tr>
      <w:tr>
        <w:trPr>
          <w:cantSplit w:val="true"/>
        </w:trPr>
        <w:tc>
          <w:tcPr>
            <w:tcW w:type="dxa" w:w="22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Healthcare and education</w:t>
            </w:r>
          </w:p>
        </w:tc>
        <w:tc>
          <w:tcPr>
            <w:tcW w:type="dxa" w:w="711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Administrative, document and institutional-knowledge workflows with appropriate human oversight; no autonomous clinical decisions.</w:t>
            </w:r>
          </w:p>
        </w:tc>
      </w:tr>
    </w:tbl>
    <w:p>
      <w:pPr>
        <w:keepLines w:val="0"/>
        <w:spacing w:before="0" w:after="60" w:line="320" w:lineRule="auto"/>
      </w:pPr>
      <w:r>
        <w:rPr>
          <w:rFonts w:ascii="Calibri" w:hAnsi="Calibri"/>
          <w:b w:val="0"/>
          <w:i w:val="0"/>
          <w:color w:val="243447"/>
          <w:sz w:val="4"/>
        </w:rPr>
      </w:r>
    </w:p>
    <w:p>
      <w:pPr>
        <w:pStyle w:val="Heading1"/>
        <w:keepNext/>
      </w:pPr>
      <w:r>
        <w:t>8. Technical Architecture Principles</w:t>
      </w:r>
    </w:p>
    <w:p>
      <w:pPr>
        <w:keepLines/>
        <w:spacing w:before="0" w:after="80" w:line="290" w:lineRule="auto"/>
        <w:numPr>
          <w:ilvl w:val="0"/>
          <w:numId w:val="10"/>
        </w:numPr>
      </w:pPr>
      <w:r>
        <w:rPr>
          <w:rFonts w:ascii="Calibri" w:hAnsi="Calibri"/>
          <w:b/>
          <w:color w:val="243447"/>
          <w:sz w:val="22"/>
        </w:rPr>
        <w:t xml:space="preserve">Architecture before model selection. </w:t>
      </w:r>
      <w:r>
        <w:rPr>
          <w:rFonts w:ascii="Calibri" w:hAnsi="Calibri"/>
          <w:color w:val="243447"/>
          <w:sz w:val="22"/>
        </w:rPr>
        <w:t>Define the workflow, risk, data and validation requirements before choosing a model.</w:t>
      </w:r>
    </w:p>
    <w:p>
      <w:pPr>
        <w:keepLines/>
        <w:spacing w:before="0" w:after="80" w:line="290" w:lineRule="auto"/>
        <w:numPr>
          <w:ilvl w:val="0"/>
          <w:numId w:val="10"/>
        </w:numPr>
      </w:pPr>
      <w:r>
        <w:rPr>
          <w:rFonts w:ascii="Calibri" w:hAnsi="Calibri"/>
          <w:b/>
          <w:color w:val="243447"/>
          <w:sz w:val="22"/>
        </w:rPr>
        <w:t xml:space="preserve">Right intelligence for the right task. </w:t>
      </w:r>
      <w:r>
        <w:rPr>
          <w:rFonts w:ascii="Calibri" w:hAnsi="Calibri"/>
          <w:color w:val="243447"/>
          <w:sz w:val="22"/>
        </w:rPr>
        <w:t>Use deterministic methods for deterministic work; use generative models where language or reasoning adds value.</w:t>
      </w:r>
    </w:p>
    <w:p>
      <w:pPr>
        <w:keepLines/>
        <w:spacing w:before="0" w:after="80" w:line="290" w:lineRule="auto"/>
        <w:numPr>
          <w:ilvl w:val="0"/>
          <w:numId w:val="10"/>
        </w:numPr>
      </w:pPr>
      <w:r>
        <w:rPr>
          <w:rFonts w:ascii="Calibri" w:hAnsi="Calibri"/>
          <w:b/>
          <w:color w:val="243447"/>
          <w:sz w:val="22"/>
        </w:rPr>
        <w:t xml:space="preserve">Model independence. </w:t>
      </w:r>
      <w:r>
        <w:rPr>
          <w:rFonts w:ascii="Calibri" w:hAnsi="Calibri"/>
          <w:color w:val="243447"/>
          <w:sz w:val="22"/>
        </w:rPr>
        <w:t>Support multiple providers, local models, Arabic models and specialist systems through governed interfaces.</w:t>
      </w:r>
    </w:p>
    <w:p>
      <w:pPr>
        <w:keepLines/>
        <w:spacing w:before="0" w:after="80" w:line="290" w:lineRule="auto"/>
        <w:numPr>
          <w:ilvl w:val="0"/>
          <w:numId w:val="10"/>
        </w:numPr>
      </w:pPr>
      <w:r>
        <w:rPr>
          <w:rFonts w:ascii="Calibri" w:hAnsi="Calibri"/>
          <w:b/>
          <w:color w:val="243447"/>
          <w:sz w:val="22"/>
        </w:rPr>
        <w:t xml:space="preserve">Grounded outputs. </w:t>
      </w:r>
      <w:r>
        <w:rPr>
          <w:rFonts w:ascii="Calibri" w:hAnsi="Calibri"/>
          <w:color w:val="243447"/>
          <w:sz w:val="22"/>
        </w:rPr>
        <w:t>Use approved data sources, retrieval, structured context and validation to reduce unsupported answers.</w:t>
      </w:r>
    </w:p>
    <w:p>
      <w:pPr>
        <w:keepLines/>
        <w:spacing w:before="0" w:after="80" w:line="290" w:lineRule="auto"/>
        <w:numPr>
          <w:ilvl w:val="0"/>
          <w:numId w:val="10"/>
        </w:numPr>
      </w:pPr>
      <w:r>
        <w:rPr>
          <w:rFonts w:ascii="Calibri" w:hAnsi="Calibri"/>
          <w:b/>
          <w:color w:val="243447"/>
          <w:sz w:val="22"/>
        </w:rPr>
        <w:t xml:space="preserve">Human control at risk boundaries. </w:t>
      </w:r>
      <w:r>
        <w:rPr>
          <w:rFonts w:ascii="Calibri" w:hAnsi="Calibri"/>
          <w:color w:val="243447"/>
          <w:sz w:val="22"/>
        </w:rPr>
        <w:t>Escalate low-confidence, regulated or consequential decisions to authorised personnel.</w:t>
      </w:r>
    </w:p>
    <w:p>
      <w:pPr>
        <w:keepLines/>
        <w:spacing w:before="0" w:after="80" w:line="290" w:lineRule="auto"/>
        <w:numPr>
          <w:ilvl w:val="0"/>
          <w:numId w:val="10"/>
        </w:numPr>
      </w:pPr>
      <w:r>
        <w:rPr>
          <w:rFonts w:ascii="Calibri" w:hAnsi="Calibri"/>
          <w:b/>
          <w:color w:val="243447"/>
          <w:sz w:val="22"/>
        </w:rPr>
        <w:t xml:space="preserve">Private and sovereign-ready deployment. </w:t>
      </w:r>
      <w:r>
        <w:rPr>
          <w:rFonts w:ascii="Calibri" w:hAnsi="Calibri"/>
          <w:color w:val="243447"/>
          <w:sz w:val="22"/>
        </w:rPr>
        <w:t>Support deployment patterns appropriate to Saudi data, security and residency requirements.</w:t>
      </w:r>
    </w:p>
    <w:p>
      <w:pPr>
        <w:keepLines/>
        <w:spacing w:before="0" w:after="80" w:line="290" w:lineRule="auto"/>
        <w:numPr>
          <w:ilvl w:val="0"/>
          <w:numId w:val="10"/>
        </w:numPr>
      </w:pPr>
      <w:r>
        <w:rPr>
          <w:rFonts w:ascii="Calibri" w:hAnsi="Calibri"/>
          <w:b/>
          <w:color w:val="243447"/>
          <w:sz w:val="22"/>
        </w:rPr>
        <w:t xml:space="preserve">Observability by design. </w:t>
      </w:r>
      <w:r>
        <w:rPr>
          <w:rFonts w:ascii="Calibri" w:hAnsi="Calibri"/>
          <w:color w:val="243447"/>
          <w:sz w:val="22"/>
        </w:rPr>
        <w:t>Measure outcomes, failure modes, tokens, latency, compute, cost and energy proxies at workload level.</w:t>
      </w:r>
    </w:p>
    <w:p>
      <w:pPr>
        <w:keepLines/>
        <w:spacing w:before="0" w:after="80" w:line="290" w:lineRule="auto"/>
        <w:numPr>
          <w:ilvl w:val="0"/>
          <w:numId w:val="10"/>
        </w:numPr>
      </w:pPr>
      <w:r>
        <w:rPr>
          <w:rFonts w:ascii="Calibri" w:hAnsi="Calibri"/>
          <w:b/>
          <w:color w:val="243447"/>
          <w:sz w:val="22"/>
        </w:rPr>
        <w:t xml:space="preserve">Reusable sector modules. </w:t>
      </w:r>
      <w:r>
        <w:rPr>
          <w:rFonts w:ascii="Calibri" w:hAnsi="Calibri"/>
          <w:color w:val="243447"/>
          <w:sz w:val="22"/>
        </w:rPr>
        <w:t>Convert successful workflows into governed components that can be deployed across organisations.</w:t>
      </w:r>
    </w:p>
    <w:p>
      <w:pPr>
        <w:pStyle w:val="Heading1"/>
        <w:keepNext/>
      </w:pPr>
      <w:r>
        <w:t>9. Delivery Roadmap</w:t>
      </w:r>
    </w:p>
    <w:p>
      <w:pPr>
        <w:keepLines w:val="0"/>
        <w:spacing w:before="0" w:after="160" w:line="320" w:lineRule="auto"/>
      </w:pPr>
      <w:r>
        <w:rPr>
          <w:rFonts w:ascii="Calibri" w:hAnsi="Calibri"/>
          <w:b w:val="0"/>
          <w:i w:val="0"/>
          <w:color w:val="243447"/>
          <w:sz w:val="22"/>
        </w:rPr>
        <w:t>The following roadmap is indicative and should be converted into a jointly approved programme plan after partner and sector selection.</w:t>
      </w:r>
    </w:p>
    <w:tbl>
      <w:tblPr>
        <w:tblW w:type="dxa" w:w="9360"/>
        <w:tblLayout w:type="fixed"/>
        <w:tblLook w:firstColumn="1" w:firstRow="1" w:lastColumn="0" w:lastRow="0" w:noHBand="0" w:noVBand="1" w:val="04A0"/>
        <w:jc w:val="left"/>
        <w:tblInd w:w="120" w:type="dxa"/>
        <w:tblBorders>
          <w:top w:val="single" w:sz="6" w:space="0" w:color="D7DEE8"/>
          <w:left w:val="single" w:sz="6" w:space="0" w:color="D7DEE8"/>
          <w:bottom w:val="single" w:sz="6" w:space="0" w:color="D7DEE8"/>
          <w:right w:val="single" w:sz="6" w:space="0" w:color="D7DEE8"/>
          <w:insideH w:val="single" w:sz="6" w:space="0" w:color="D7DEE8"/>
          <w:insideV w:val="single" w:sz="6" w:space="0" w:color="D7DEE8"/>
        </w:tblBorders>
      </w:tblPr>
      <w:tblGrid>
        <w:gridCol w:w="1320"/>
        <w:gridCol w:w="1250"/>
        <w:gridCol w:w="4010"/>
        <w:gridCol w:w="2780"/>
      </w:tblGrid>
      <w:tr>
        <w:trPr>
          <w:cantSplit w:val="true"/>
          <w:tblHeader w:val="true"/>
        </w:trPr>
        <w:tc>
          <w:tcPr>
            <w:tcW w:type="dxa" w:w="132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Stage</w:t>
            </w:r>
          </w:p>
        </w:tc>
        <w:tc>
          <w:tcPr>
            <w:tcW w:type="dxa" w:w="125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Indicative Timing</w:t>
            </w:r>
          </w:p>
        </w:tc>
        <w:tc>
          <w:tcPr>
            <w:tcW w:type="dxa" w:w="401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Key Activities</w:t>
            </w:r>
          </w:p>
        </w:tc>
        <w:tc>
          <w:tcPr>
            <w:tcW w:type="dxa" w:w="278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Decision Gate / Output</w:t>
            </w:r>
          </w:p>
        </w:tc>
      </w:tr>
      <w:tr>
        <w:trPr>
          <w:cantSplit w:val="true"/>
        </w:trPr>
        <w:tc>
          <w:tcPr>
            <w:tcW w:type="dxa" w:w="132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6"/>
              </w:rPr>
              <w:t>0. Mobilise</w:t>
            </w:r>
          </w:p>
        </w:tc>
        <w:tc>
          <w:tcPr>
            <w:tcW w:type="dxa" w:w="12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Months 0-2</w:t>
            </w:r>
          </w:p>
        </w:tc>
        <w:tc>
          <w:tcPr>
            <w:tcW w:type="dxa" w:w="4010"/>
            <w:tcMar>
              <w:top w:w="80" w:type="dxa"/>
              <w:start w:w="120" w:type="dxa"/>
              <w:bottom w:w="80" w:type="dxa"/>
              <w:end w:w="120" w:type="dxa"/>
            </w:tcMar>
            <w:vAlign w:val="center"/>
          </w:tcPr>
          <w:p>
            <w:pPr>
              <w:spacing w:before="0" w:after="0" w:line="259" w:lineRule="auto"/>
              <w:jc w:val="left"/>
            </w:pPr>
            <w:r>
              <w:t>Appoint focal points across AINNA, MIGHT, TAFE JD and PCG Edge; NDA; confirm consortium governance and RACI; stakeholder mapping; select priority sectors.</w:t>
            </w:r>
          </w:p>
        </w:tc>
        <w:tc>
          <w:tcPr>
            <w:tcW w:type="dxa" w:w="2780"/>
            <w:tcMar>
              <w:top w:w="80" w:type="dxa"/>
              <w:start w:w="120" w:type="dxa"/>
              <w:bottom w:w="80" w:type="dxa"/>
              <w:end w:w="120" w:type="dxa"/>
            </w:tcMar>
            <w:vAlign w:val="center"/>
          </w:tcPr>
          <w:p>
            <w:pPr>
              <w:spacing w:before="0" w:after="0" w:line="259" w:lineRule="auto"/>
              <w:jc w:val="left"/>
            </w:pPr>
            <w:r>
              <w:t>Joint mobilisation charter, consortium responsibility matrix and partner engagement plan.</w:t>
            </w:r>
          </w:p>
        </w:tc>
      </w:tr>
      <w:tr>
        <w:trPr>
          <w:cantSplit w:val="true"/>
        </w:trPr>
        <w:tc>
          <w:tcPr>
            <w:tcW w:type="dxa" w:w="132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6"/>
              </w:rPr>
              <w:t>1. Foundation</w:t>
            </w:r>
          </w:p>
        </w:tc>
        <w:tc>
          <w:tcPr>
            <w:tcW w:type="dxa" w:w="12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Months 2-4</w:t>
            </w:r>
          </w:p>
        </w:tc>
        <w:tc>
          <w:tcPr>
            <w:tcW w:type="dxa" w:w="4010"/>
            <w:shd w:fill="F4F6F9"/>
            <w:tcMar>
              <w:top w:w="80" w:type="dxa"/>
              <w:start w:w="120" w:type="dxa"/>
              <w:bottom w:w="80" w:type="dxa"/>
              <w:end w:w="120" w:type="dxa"/>
            </w:tcMar>
            <w:vAlign w:val="center"/>
          </w:tcPr>
          <w:p>
            <w:pPr>
              <w:spacing w:before="0" w:after="0" w:line="259" w:lineRule="auto"/>
              <w:jc w:val="left"/>
            </w:pPr>
            <w:r>
              <w:t>Requirements, data and security design; infrastructure selection; baseline definition; localisation plan; Saudi establishment/regulatory pathway; initial commercial and capital structure.</w:t>
            </w:r>
          </w:p>
        </w:tc>
        <w:tc>
          <w:tcPr>
            <w:tcW w:type="dxa" w:w="2780"/>
            <w:shd w:fill="F4F6F9"/>
            <w:tcMar>
              <w:top w:w="80" w:type="dxa"/>
              <w:start w:w="120" w:type="dxa"/>
              <w:bottom w:w="80" w:type="dxa"/>
              <w:end w:w="120" w:type="dxa"/>
            </w:tcMar>
            <w:vAlign w:val="center"/>
          </w:tcPr>
          <w:p>
            <w:pPr>
              <w:spacing w:before="0" w:after="0" w:line="259" w:lineRule="auto"/>
              <w:jc w:val="left"/>
            </w:pPr>
            <w:r>
              <w:t>Approved solution blueprint, localisation and regulatory plan, evaluation plan, commercial structure and budget.</w:t>
            </w:r>
          </w:p>
        </w:tc>
      </w:tr>
      <w:tr>
        <w:trPr>
          <w:cantSplit w:val="true"/>
        </w:trPr>
        <w:tc>
          <w:tcPr>
            <w:tcW w:type="dxa" w:w="132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6"/>
              </w:rPr>
              <w:t>2. Core Build</w:t>
            </w:r>
          </w:p>
        </w:tc>
        <w:tc>
          <w:tcPr>
            <w:tcW w:type="dxa" w:w="12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Months 4-8</w:t>
            </w:r>
          </w:p>
        </w:tc>
        <w:tc>
          <w:tcPr>
            <w:tcW w:type="dxa" w:w="401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Build Saudi NeuralOps core, model gateway, routing, audit, dashboard and deployment automation.</w:t>
            </w:r>
          </w:p>
        </w:tc>
        <w:tc>
          <w:tcPr>
            <w:tcW w:type="dxa" w:w="278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Operational Saudi core platform.</w:t>
            </w:r>
          </w:p>
        </w:tc>
      </w:tr>
      <w:tr>
        <w:trPr>
          <w:cantSplit w:val="true"/>
        </w:trPr>
        <w:tc>
          <w:tcPr>
            <w:tcW w:type="dxa" w:w="132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6"/>
              </w:rPr>
              <w:t>3. Sector Build</w:t>
            </w:r>
          </w:p>
        </w:tc>
        <w:tc>
          <w:tcPr>
            <w:tcW w:type="dxa" w:w="12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Months 7-12</w:t>
            </w:r>
          </w:p>
        </w:tc>
        <w:tc>
          <w:tcPr>
            <w:tcW w:type="dxa" w:w="401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Develop connectors, workflows, Arabic layers, evaluation sets and operator interfaces.</w:t>
            </w:r>
          </w:p>
        </w:tc>
        <w:tc>
          <w:tcPr>
            <w:tcW w:type="dxa" w:w="278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Initial sector modules and trained delivery teams.</w:t>
            </w:r>
          </w:p>
        </w:tc>
      </w:tr>
      <w:tr>
        <w:trPr>
          <w:cantSplit w:val="true"/>
        </w:trPr>
        <w:tc>
          <w:tcPr>
            <w:tcW w:type="dxa" w:w="132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4. Reference Deployment</w:t>
            </w:r>
          </w:p>
        </w:tc>
        <w:tc>
          <w:tcPr>
            <w:tcW w:type="dxa" w:w="12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Months 10-15</w:t>
            </w:r>
          </w:p>
        </w:tc>
        <w:tc>
          <w:tcPr>
            <w:tcW w:type="dxa" w:w="401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Deploy with selected organisations; harden integration; operate under real service conditions.</w:t>
            </w:r>
          </w:p>
        </w:tc>
        <w:tc>
          <w:tcPr>
            <w:tcW w:type="dxa" w:w="278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Production reference deployments and verified performance evidence.</w:t>
            </w:r>
          </w:p>
        </w:tc>
      </w:tr>
      <w:tr>
        <w:trPr>
          <w:cantSplit w:val="true"/>
        </w:trPr>
        <w:tc>
          <w:tcPr>
            <w:tcW w:type="dxa" w:w="132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6"/>
              </w:rPr>
              <w:t>5. Productise</w:t>
            </w:r>
          </w:p>
        </w:tc>
        <w:tc>
          <w:tcPr>
            <w:tcW w:type="dxa" w:w="12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Months 13-18</w:t>
            </w:r>
          </w:p>
        </w:tc>
        <w:tc>
          <w:tcPr>
            <w:tcW w:type="dxa" w:w="4010"/>
            <w:shd w:fill="F4F6F9"/>
            <w:tcMar>
              <w:top w:w="80" w:type="dxa"/>
              <w:start w:w="120" w:type="dxa"/>
              <w:bottom w:w="80" w:type="dxa"/>
              <w:end w:w="120" w:type="dxa"/>
            </w:tcMar>
            <w:vAlign w:val="center"/>
          </w:tcPr>
          <w:p>
            <w:pPr>
              <w:spacing w:before="0" w:after="0" w:line="259" w:lineRule="auto"/>
              <w:jc w:val="left"/>
            </w:pPr>
            <w:r>
              <w:t>Package licensing, support, documentation, partner enablement, Saudi procurement materials, investment package and channel model.</w:t>
            </w:r>
          </w:p>
        </w:tc>
        <w:tc>
          <w:tcPr>
            <w:tcW w:type="dxa" w:w="2780"/>
            <w:shd w:fill="F4F6F9"/>
            <w:tcMar>
              <w:top w:w="80" w:type="dxa"/>
              <w:start w:w="120" w:type="dxa"/>
              <w:bottom w:w="80" w:type="dxa"/>
              <w:end w:w="120" w:type="dxa"/>
            </w:tcMar>
            <w:vAlign w:val="center"/>
          </w:tcPr>
          <w:p>
            <w:pPr>
              <w:spacing w:before="0" w:after="0" w:line="259" w:lineRule="auto"/>
              <w:jc w:val="left"/>
            </w:pPr>
            <w:r>
              <w:t>Commercial Saudi offering, investment-ready scale package and partner-led growth plan.</w:t>
            </w:r>
          </w:p>
        </w:tc>
      </w:tr>
      <w:tr>
        <w:trPr>
          <w:cantSplit w:val="true"/>
        </w:trPr>
        <w:tc>
          <w:tcPr>
            <w:tcW w:type="dxa" w:w="132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6"/>
              </w:rPr>
              <w:t>6. Regional Scale</w:t>
            </w:r>
          </w:p>
        </w:tc>
        <w:tc>
          <w:tcPr>
            <w:tcW w:type="dxa" w:w="12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Month 18+</w:t>
            </w:r>
          </w:p>
        </w:tc>
        <w:tc>
          <w:tcPr>
            <w:tcW w:type="dxa" w:w="401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Expand through Saudi partners into the GCC and selected international markets.</w:t>
            </w:r>
          </w:p>
        </w:tc>
        <w:tc>
          <w:tcPr>
            <w:tcW w:type="dxa" w:w="278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Repeatable partner-led expansion model.</w:t>
            </w:r>
          </w:p>
        </w:tc>
      </w:tr>
    </w:tbl>
    <w:p>
      <w:pPr>
        <w:keepLines w:val="0"/>
        <w:spacing w:before="0" w:after="60" w:line="320" w:lineRule="auto"/>
      </w:pPr>
      <w:r>
        <w:rPr>
          <w:rFonts w:ascii="Calibri" w:hAnsi="Calibri"/>
          <w:b w:val="0"/>
          <w:i w:val="0"/>
          <w:color w:val="243447"/>
          <w:sz w:val="4"/>
        </w:rPr>
      </w:r>
    </w:p>
    <w:p>
      <w:pPr>
        <w:pStyle w:val="Heading1"/>
        <w:keepNext/>
      </w:pPr>
      <w:r>
        <w:t>10. Measurement and Success Criteria</w:t>
      </w:r>
    </w:p>
    <w:p>
      <w:pPr>
        <w:keepLines w:val="0"/>
        <w:spacing w:before="0" w:after="160" w:line="320" w:lineRule="auto"/>
      </w:pPr>
      <w:r>
        <w:rPr>
          <w:rFonts w:ascii="Calibri" w:hAnsi="Calibri"/>
          <w:b w:val="0"/>
          <w:i w:val="0"/>
          <w:color w:val="243447"/>
          <w:sz w:val="22"/>
        </w:rPr>
        <w:t>All claimed benefits should be measured against an agreed conventional baseline for the same workload. Targets will be set during the Foundation stage; this proposal intentionally does not invent performance figures before the workload, data, infrastructure and risk profile are known.</w:t>
      </w:r>
    </w:p>
    <w:tbl>
      <w:tblPr>
        <w:tblW w:type="dxa" w:w="9360"/>
        <w:tblLayout w:type="fixed"/>
        <w:tblLook w:firstColumn="1" w:firstRow="1" w:lastColumn="0" w:lastRow="0" w:noHBand="0" w:noVBand="1" w:val="04A0"/>
        <w:jc w:val="left"/>
        <w:tblInd w:w="120" w:type="dxa"/>
        <w:tblBorders>
          <w:top w:val="single" w:sz="6" w:space="0" w:color="D7DEE8"/>
          <w:left w:val="single" w:sz="6" w:space="0" w:color="D7DEE8"/>
          <w:bottom w:val="single" w:sz="6" w:space="0" w:color="D7DEE8"/>
          <w:right w:val="single" w:sz="6" w:space="0" w:color="D7DEE8"/>
          <w:insideH w:val="single" w:sz="6" w:space="0" w:color="D7DEE8"/>
          <w:insideV w:val="single" w:sz="6" w:space="0" w:color="D7DEE8"/>
        </w:tblBorders>
      </w:tblPr>
      <w:tblGrid>
        <w:gridCol w:w="1680"/>
        <w:gridCol w:w="2440"/>
        <w:gridCol w:w="2640"/>
        <w:gridCol w:w="2600"/>
      </w:tblGrid>
      <w:tr>
        <w:trPr>
          <w:cantSplit w:val="true"/>
          <w:tblHeader w:val="true"/>
        </w:trPr>
        <w:tc>
          <w:tcPr>
            <w:tcW w:type="dxa" w:w="168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Measurement Area</w:t>
            </w:r>
          </w:p>
        </w:tc>
        <w:tc>
          <w:tcPr>
            <w:tcW w:type="dxa" w:w="244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Core Metric</w:t>
            </w:r>
          </w:p>
        </w:tc>
        <w:tc>
          <w:tcPr>
            <w:tcW w:type="dxa" w:w="264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Method</w:t>
            </w:r>
          </w:p>
        </w:tc>
        <w:tc>
          <w:tcPr>
            <w:tcW w:type="dxa" w:w="260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Acceptance Approach</w:t>
            </w:r>
          </w:p>
        </w:tc>
      </w:tr>
      <w:tr>
        <w:trPr>
          <w:cantSplit w:val="true"/>
        </w:trPr>
        <w:tc>
          <w:tcPr>
            <w:tcW w:type="dxa" w:w="168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5"/>
              </w:rPr>
              <w:t>Reliability</w:t>
            </w:r>
          </w:p>
        </w:tc>
        <w:tc>
          <w:tcPr>
            <w:tcW w:type="dxa" w:w="24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Task success rate; deterministic validation pass rate; uptime.</w:t>
            </w:r>
          </w:p>
        </w:tc>
        <w:tc>
          <w:tcPr>
            <w:tcW w:type="dxa" w:w="26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Production logs and repeatable workload evaluation.</w:t>
            </w:r>
          </w:p>
        </w:tc>
        <w:tc>
          <w:tcPr>
            <w:tcW w:type="dxa" w:w="260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Threshold agreed by workload criticality.</w:t>
            </w:r>
          </w:p>
        </w:tc>
      </w:tr>
      <w:tr>
        <w:trPr>
          <w:cantSplit w:val="true"/>
        </w:trPr>
        <w:tc>
          <w:tcPr>
            <w:tcW w:type="dxa" w:w="168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Hallucination exposure</w:t>
            </w:r>
          </w:p>
        </w:tc>
        <w:tc>
          <w:tcPr>
            <w:tcW w:type="dxa" w:w="244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Unsupported or ungrounded output rate; citation or evidence validity.</w:t>
            </w:r>
          </w:p>
        </w:tc>
        <w:tc>
          <w:tcPr>
            <w:tcW w:type="dxa" w:w="264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Curated evaluation set plus human review for high-risk outputs.</w:t>
            </w:r>
          </w:p>
        </w:tc>
        <w:tc>
          <w:tcPr>
            <w:tcW w:type="dxa" w:w="260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Improvement versus the agreed LLM-only or current-process baseline.</w:t>
            </w:r>
          </w:p>
        </w:tc>
      </w:tr>
      <w:tr>
        <w:trPr>
          <w:cantSplit w:val="true"/>
        </w:trPr>
        <w:tc>
          <w:tcPr>
            <w:tcW w:type="dxa" w:w="168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5"/>
              </w:rPr>
              <w:t>Token efficiency</w:t>
            </w:r>
          </w:p>
        </w:tc>
        <w:tc>
          <w:tcPr>
            <w:tcW w:type="dxa" w:w="24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Input/output tokens per successful task; avoided LLM calls.</w:t>
            </w:r>
          </w:p>
        </w:tc>
        <w:tc>
          <w:tcPr>
            <w:tcW w:type="dxa" w:w="26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Gateway telemetry and workload tracing.</w:t>
            </w:r>
          </w:p>
        </w:tc>
        <w:tc>
          <w:tcPr>
            <w:tcW w:type="dxa" w:w="260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Lower consumption without reducing required quality.</w:t>
            </w:r>
          </w:p>
        </w:tc>
      </w:tr>
      <w:tr>
        <w:trPr>
          <w:cantSplit w:val="true"/>
        </w:trPr>
        <w:tc>
          <w:tcPr>
            <w:tcW w:type="dxa" w:w="168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Compute efficiency</w:t>
            </w:r>
          </w:p>
        </w:tc>
        <w:tc>
          <w:tcPr>
            <w:tcW w:type="dxa" w:w="244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GPU/CPU time, model size and execution path per successful task.</w:t>
            </w:r>
          </w:p>
        </w:tc>
        <w:tc>
          <w:tcPr>
            <w:tcW w:type="dxa" w:w="264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Infrastructure telemetry where available.</w:t>
            </w:r>
          </w:p>
        </w:tc>
        <w:tc>
          <w:tcPr>
            <w:tcW w:type="dxa" w:w="260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Lower unnecessary compute versus baseline.</w:t>
            </w:r>
          </w:p>
        </w:tc>
      </w:tr>
      <w:tr>
        <w:trPr>
          <w:cantSplit w:val="true"/>
        </w:trPr>
        <w:tc>
          <w:tcPr>
            <w:tcW w:type="dxa" w:w="168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5"/>
              </w:rPr>
              <w:t>Energy efficiency</w:t>
            </w:r>
          </w:p>
        </w:tc>
        <w:tc>
          <w:tcPr>
            <w:tcW w:type="dxa" w:w="24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Measured kWh or approved compute-to-energy proxy per workload.</w:t>
            </w:r>
          </w:p>
        </w:tc>
        <w:tc>
          <w:tcPr>
            <w:tcW w:type="dxa" w:w="26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Provider telemetry or agreed estimation methodology.</w:t>
            </w:r>
          </w:p>
        </w:tc>
        <w:tc>
          <w:tcPr>
            <w:tcW w:type="dxa" w:w="260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Transparent method and trend improvement; no unsupported ESG claim.</w:t>
            </w:r>
          </w:p>
        </w:tc>
      </w:tr>
      <w:tr>
        <w:trPr>
          <w:cantSplit w:val="true"/>
        </w:trPr>
        <w:tc>
          <w:tcPr>
            <w:tcW w:type="dxa" w:w="168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5"/>
              </w:rPr>
              <w:t>Cost</w:t>
            </w:r>
          </w:p>
        </w:tc>
        <w:tc>
          <w:tcPr>
            <w:tcW w:type="dxa" w:w="244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Total cost per completed business outcome.</w:t>
            </w:r>
          </w:p>
        </w:tc>
        <w:tc>
          <w:tcPr>
            <w:tcW w:type="dxa" w:w="264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Infrastructure, API, support and review cost allocation.</w:t>
            </w:r>
          </w:p>
        </w:tc>
        <w:tc>
          <w:tcPr>
            <w:tcW w:type="dxa" w:w="260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Positive unit economics at deployment scale.</w:t>
            </w:r>
          </w:p>
        </w:tc>
      </w:tr>
      <w:tr>
        <w:trPr>
          <w:cantSplit w:val="true"/>
        </w:trPr>
        <w:tc>
          <w:tcPr>
            <w:tcW w:type="dxa" w:w="168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5"/>
              </w:rPr>
              <w:t>Latency</w:t>
            </w:r>
          </w:p>
        </w:tc>
        <w:tc>
          <w:tcPr>
            <w:tcW w:type="dxa" w:w="24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Median and tail response or completion time.</w:t>
            </w:r>
          </w:p>
        </w:tc>
        <w:tc>
          <w:tcPr>
            <w:tcW w:type="dxa" w:w="26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End-to-end application monitoring.</w:t>
            </w:r>
          </w:p>
        </w:tc>
        <w:tc>
          <w:tcPr>
            <w:tcW w:type="dxa" w:w="260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Service-level objective by use case.</w:t>
            </w:r>
          </w:p>
        </w:tc>
      </w:tr>
      <w:tr>
        <w:trPr>
          <w:cantSplit w:val="true"/>
        </w:trPr>
        <w:tc>
          <w:tcPr>
            <w:tcW w:type="dxa" w:w="168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5"/>
              </w:rPr>
              <w:t>Human workload</w:t>
            </w:r>
          </w:p>
        </w:tc>
        <w:tc>
          <w:tcPr>
            <w:tcW w:type="dxa" w:w="244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Review rate, exception rate and time saved.</w:t>
            </w:r>
          </w:p>
        </w:tc>
        <w:tc>
          <w:tcPr>
            <w:tcW w:type="dxa" w:w="264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Workflow and operator records.</w:t>
            </w:r>
          </w:p>
        </w:tc>
        <w:tc>
          <w:tcPr>
            <w:tcW w:type="dxa" w:w="260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Reduced low-value effort while preserving required control.</w:t>
            </w:r>
          </w:p>
        </w:tc>
      </w:tr>
      <w:tr>
        <w:trPr>
          <w:cantSplit w:val="true"/>
        </w:trPr>
        <w:tc>
          <w:tcPr>
            <w:tcW w:type="dxa" w:w="168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5"/>
              </w:rPr>
              <w:t>Localisation</w:t>
            </w:r>
          </w:p>
        </w:tc>
        <w:tc>
          <w:tcPr>
            <w:tcW w:type="dxa" w:w="24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Arabic quality, terminology accuracy and user acceptance.</w:t>
            </w:r>
          </w:p>
        </w:tc>
        <w:tc>
          <w:tcPr>
            <w:tcW w:type="dxa" w:w="26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Bilingual expert review and user testing.</w:t>
            </w:r>
          </w:p>
        </w:tc>
        <w:tc>
          <w:tcPr>
            <w:tcW w:type="dxa" w:w="260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5"/>
              </w:rPr>
              <w:t>Sector-approved quality threshold.</w:t>
            </w:r>
          </w:p>
        </w:tc>
      </w:tr>
    </w:tbl>
    <w:p>
      <w:pPr>
        <w:keepLines w:val="0"/>
        <w:spacing w:before="0" w:after="60" w:line="320" w:lineRule="auto"/>
      </w:pPr>
      <w:r>
        <w:rPr>
          <w:rFonts w:ascii="Calibri" w:hAnsi="Calibri"/>
          <w:b w:val="0"/>
          <w:i w:val="0"/>
          <w:color w:val="243447"/>
          <w:sz w:val="4"/>
        </w:rPr>
      </w:r>
    </w:p>
    <w:p>
      <w:pPr>
        <w:pStyle w:val="Heading1"/>
        <w:keepNext/>
      </w:pPr>
      <w:r>
        <w:t>11. Governance, Security and Responsible AI</w:t>
      </w:r>
    </w:p>
    <w:p>
      <w:pPr>
        <w:pStyle w:val="Heading2"/>
        <w:keepNext/>
      </w:pPr>
      <w:r>
        <w:t>11.1 Programme Governance</w:t>
      </w:r>
    </w:p>
    <w:tbl>
      <w:tblPr>
        <w:tblW w:type="dxa" w:w="9360"/>
        <w:tblLayout w:type="fixed"/>
        <w:tblLook w:firstColumn="1" w:firstRow="1" w:lastColumn="0" w:lastRow="0" w:noHBand="0" w:noVBand="1" w:val="04A0"/>
        <w:jc w:val="left"/>
        <w:tblInd w:w="120" w:type="dxa"/>
        <w:tblBorders>
          <w:top w:val="single" w:sz="6" w:space="0" w:color="D7DEE8"/>
          <w:left w:val="single" w:sz="6" w:space="0" w:color="D7DEE8"/>
          <w:bottom w:val="single" w:sz="6" w:space="0" w:color="D7DEE8"/>
          <w:right w:val="single" w:sz="6" w:space="0" w:color="D7DEE8"/>
          <w:insideH w:val="single" w:sz="6" w:space="0" w:color="D7DEE8"/>
          <w:insideV w:val="single" w:sz="6" w:space="0" w:color="D7DEE8"/>
        </w:tblBorders>
      </w:tblPr>
      <w:tblGrid>
        <w:gridCol w:w="2050"/>
        <w:gridCol w:w="4010"/>
        <w:gridCol w:w="3300"/>
      </w:tblGrid>
      <w:tr>
        <w:trPr>
          <w:cantSplit w:val="true"/>
          <w:tblHeader w:val="true"/>
        </w:trPr>
        <w:tc>
          <w:tcPr>
            <w:tcW w:type="dxa" w:w="205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Governance Body</w:t>
            </w:r>
          </w:p>
        </w:tc>
        <w:tc>
          <w:tcPr>
            <w:tcW w:type="dxa" w:w="401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Primary Responsibility</w:t>
            </w:r>
          </w:p>
        </w:tc>
        <w:tc>
          <w:tcPr>
            <w:tcW w:type="dxa" w:w="330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Indicative Membership</w:t>
            </w:r>
          </w:p>
        </w:tc>
      </w:tr>
      <w:tr>
        <w:trPr>
          <w:cantSplit w:val="true"/>
        </w:trPr>
        <w:tc>
          <w:tcPr>
            <w:tcW w:type="dxa" w:w="20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7"/>
              </w:rPr>
              <w:t>Steering Committee</w:t>
            </w:r>
          </w:p>
        </w:tc>
        <w:tc>
          <w:tcPr>
            <w:tcW w:type="dxa" w:w="401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7"/>
              </w:rPr>
              <w:t>Strategy, partner alignment, funding, programme gates and commercial direction.</w:t>
            </w:r>
          </w:p>
        </w:tc>
        <w:tc>
          <w:tcPr>
            <w:tcW w:type="dxa" w:w="3300"/>
            <w:tcMar>
              <w:top w:w="80" w:type="dxa"/>
              <w:start w:w="120" w:type="dxa"/>
              <w:bottom w:w="80" w:type="dxa"/>
              <w:end w:w="120" w:type="dxa"/>
            </w:tcMar>
            <w:vAlign w:val="center"/>
          </w:tcPr>
          <w:p>
            <w:pPr>
              <w:spacing w:before="0" w:after="0" w:line="259" w:lineRule="auto"/>
              <w:jc w:val="left"/>
            </w:pPr>
            <w:r>
              <w:t>AINNA, MIGHT, TAFE JD, PCG Edge and appointed Saudi host/infrastructure partner representatives.</w:t>
            </w:r>
          </w:p>
        </w:tc>
      </w:tr>
      <w:tr>
        <w:trPr>
          <w:cantSplit w:val="true"/>
        </w:trPr>
        <w:tc>
          <w:tcPr>
            <w:tcW w:type="dxa" w:w="20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7"/>
              </w:rPr>
              <w:t>Technical Architecture Board</w:t>
            </w:r>
          </w:p>
        </w:tc>
        <w:tc>
          <w:tcPr>
            <w:tcW w:type="dxa" w:w="401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7"/>
              </w:rPr>
              <w:t>Architecture, security, interoperability, infrastructure and performance decisions.</w:t>
            </w:r>
          </w:p>
        </w:tc>
        <w:tc>
          <w:tcPr>
            <w:tcW w:type="dxa" w:w="3300"/>
            <w:shd w:fill="F4F6F9"/>
            <w:tcMar>
              <w:top w:w="80" w:type="dxa"/>
              <w:start w:w="120" w:type="dxa"/>
              <w:bottom w:w="80" w:type="dxa"/>
              <w:end w:w="120" w:type="dxa"/>
            </w:tcMar>
            <w:vAlign w:val="center"/>
          </w:tcPr>
          <w:p>
            <w:pPr>
              <w:spacing w:before="0" w:after="0" w:line="259" w:lineRule="auto"/>
              <w:jc w:val="left"/>
            </w:pPr>
            <w:r>
              <w:t>AINNA engineers, infrastructure partners, appointed technical reviewers, with TAFE JD supporting Saudi compliance and local deployment coordination where relevant.</w:t>
            </w:r>
          </w:p>
        </w:tc>
      </w:tr>
      <w:tr>
        <w:trPr>
          <w:cantSplit w:val="true"/>
        </w:trPr>
        <w:tc>
          <w:tcPr>
            <w:tcW w:type="dxa" w:w="20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7"/>
              </w:rPr>
              <w:t>Sector Working Group</w:t>
            </w:r>
          </w:p>
        </w:tc>
        <w:tc>
          <w:tcPr>
            <w:tcW w:type="dxa" w:w="401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7"/>
              </w:rPr>
              <w:t>Requirements, data access, operational design, acceptance and change management.</w:t>
            </w:r>
          </w:p>
        </w:tc>
        <w:tc>
          <w:tcPr>
            <w:tcW w:type="dxa" w:w="330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7"/>
              </w:rPr>
              <w:t>Host organisation, users, domain experts and delivery team.</w:t>
            </w:r>
          </w:p>
        </w:tc>
      </w:tr>
      <w:tr>
        <w:trPr>
          <w:cantSplit w:val="true"/>
        </w:trPr>
        <w:tc>
          <w:tcPr>
            <w:tcW w:type="dxa" w:w="20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7"/>
              </w:rPr>
              <w:t>Responsible AI &amp; Data Review</w:t>
            </w:r>
          </w:p>
        </w:tc>
        <w:tc>
          <w:tcPr>
            <w:tcW w:type="dxa" w:w="401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7"/>
              </w:rPr>
              <w:t>Risk classification, privacy, data use, model approval, evaluation and human oversight.</w:t>
            </w:r>
          </w:p>
        </w:tc>
        <w:tc>
          <w:tcPr>
            <w:tcW w:type="dxa" w:w="330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7"/>
              </w:rPr>
              <w:t>Data owners, legal/compliance, security and AI governance representatives.</w:t>
            </w:r>
          </w:p>
        </w:tc>
      </w:tr>
    </w:tbl>
    <w:p>
      <w:pPr>
        <w:keepLines w:val="0"/>
        <w:spacing w:before="0" w:after="60" w:line="320" w:lineRule="auto"/>
      </w:pPr>
      <w:r>
        <w:rPr>
          <w:rFonts w:ascii="Calibri" w:hAnsi="Calibri"/>
          <w:b w:val="0"/>
          <w:i w:val="0"/>
          <w:color w:val="243447"/>
          <w:sz w:val="4"/>
        </w:rPr>
      </w:r>
    </w:p>
    <w:p>
      <w:pPr>
        <w:pStyle w:val="Heading2"/>
        <w:keepNext/>
      </w:pPr>
      <w:r>
        <w:t>11.2 Security and Data Principles</w:t>
      </w:r>
    </w:p>
    <w:p>
      <w:pPr>
        <w:keepLines/>
        <w:spacing w:before="0" w:after="80" w:line="290" w:lineRule="auto"/>
        <w:numPr>
          <w:ilvl w:val="0"/>
          <w:numId w:val="10"/>
        </w:numPr>
      </w:pPr>
      <w:r>
        <w:rPr>
          <w:rFonts w:ascii="Calibri" w:hAnsi="Calibri"/>
          <w:color w:val="243447"/>
          <w:sz w:val="22"/>
        </w:rPr>
        <w:t>Comply with applicable Saudi laws, policies and sector requirements, supported by qualified Saudi legal and compliance advisers.</w:t>
      </w:r>
    </w:p>
    <w:p>
      <w:pPr>
        <w:keepLines/>
        <w:spacing w:before="0" w:after="80" w:line="290" w:lineRule="auto"/>
        <w:numPr>
          <w:ilvl w:val="0"/>
          <w:numId w:val="10"/>
        </w:numPr>
      </w:pPr>
      <w:r>
        <w:rPr>
          <w:rFonts w:ascii="Calibri" w:hAnsi="Calibri"/>
          <w:color w:val="243447"/>
          <w:sz w:val="22"/>
        </w:rPr>
        <w:t>Define data ownership, permitted use, retention, residency, transfer and deletion before development begins.</w:t>
      </w:r>
    </w:p>
    <w:p>
      <w:pPr>
        <w:keepLines/>
        <w:spacing w:before="0" w:after="80" w:line="290" w:lineRule="auto"/>
        <w:numPr>
          <w:ilvl w:val="0"/>
          <w:numId w:val="10"/>
        </w:numPr>
      </w:pPr>
      <w:r>
        <w:rPr>
          <w:rFonts w:ascii="Calibri" w:hAnsi="Calibri"/>
          <w:color w:val="243447"/>
          <w:sz w:val="22"/>
        </w:rPr>
        <w:t>Use least-privilege access, strong identity controls, encryption in transit and at rest, private networking and auditable administration.</w:t>
      </w:r>
    </w:p>
    <w:p>
      <w:pPr>
        <w:keepLines/>
        <w:spacing w:before="0" w:after="80" w:line="290" w:lineRule="auto"/>
        <w:numPr>
          <w:ilvl w:val="0"/>
          <w:numId w:val="10"/>
        </w:numPr>
      </w:pPr>
      <w:r>
        <w:rPr>
          <w:rFonts w:ascii="Calibri" w:hAnsi="Calibri"/>
          <w:color w:val="243447"/>
          <w:sz w:val="22"/>
        </w:rPr>
        <w:t>Separate customer or agency environments and prevent cross-tenant data leakage.</w:t>
      </w:r>
    </w:p>
    <w:p>
      <w:pPr>
        <w:keepLines/>
        <w:spacing w:before="0" w:after="80" w:line="290" w:lineRule="auto"/>
        <w:numPr>
          <w:ilvl w:val="0"/>
          <w:numId w:val="10"/>
        </w:numPr>
      </w:pPr>
      <w:r>
        <w:rPr>
          <w:rFonts w:ascii="Calibri" w:hAnsi="Calibri"/>
          <w:color w:val="243447"/>
          <w:sz w:val="22"/>
        </w:rPr>
        <w:t>Maintain approved model and tool registries, version control, change logs, incident processes, rollback and recovery procedures.</w:t>
      </w:r>
    </w:p>
    <w:p>
      <w:pPr>
        <w:keepLines/>
        <w:spacing w:before="0" w:after="80" w:line="290" w:lineRule="auto"/>
        <w:numPr>
          <w:ilvl w:val="0"/>
          <w:numId w:val="10"/>
        </w:numPr>
      </w:pPr>
      <w:r>
        <w:rPr>
          <w:rFonts w:ascii="Calibri" w:hAnsi="Calibri"/>
          <w:color w:val="243447"/>
          <w:sz w:val="22"/>
        </w:rPr>
        <w:t>Require human authorisation for high-impact decisions and prohibit autonomous clinical, legal, financial or public-safety decisions unless explicitly approved under the relevant governance framework.</w:t>
      </w:r>
    </w:p>
    <w:p>
      <w:pPr>
        <w:keepLines/>
        <w:spacing w:before="0" w:after="80" w:line="290" w:lineRule="auto"/>
        <w:numPr>
          <w:ilvl w:val="0"/>
          <w:numId w:val="10"/>
        </w:numPr>
      </w:pPr>
      <w:r>
        <w:rPr>
          <w:rFonts w:ascii="Calibri" w:hAnsi="Calibri"/>
          <w:color w:val="243447"/>
          <w:sz w:val="22"/>
        </w:rPr>
        <w:t>Conduct threat modelling, vulnerability assessment and red-team exercises appropriate to the deployment risk.</w:t>
      </w:r>
    </w:p>
    <w:p>
      <w:pPr>
        <w:pStyle w:val="Heading1"/>
        <w:keepNext/>
      </w:pPr>
      <w:r>
        <w:t>12. Commercialisation and Intellectual Property</w:t>
      </w:r>
    </w:p>
    <w:p>
      <w:pPr>
        <w:keepLines w:val="0"/>
        <w:spacing w:before="0" w:after="160" w:line="320" w:lineRule="auto"/>
      </w:pPr>
      <w:r>
        <w:rPr>
          <w:rFonts w:ascii="Calibri" w:hAnsi="Calibri"/>
          <w:b w:val="0"/>
          <w:i w:val="0"/>
          <w:color w:val="243447"/>
          <w:sz w:val="22"/>
        </w:rPr>
        <w:t>The preferred commercial structure should be negotiated among AINNA, MIGHT, TAFE JD, PCG Edge and selected Saudi partners. AINNA proposes the following principles as a basis for discussion:</w:t>
      </w:r>
    </w:p>
    <w:p>
      <w:pPr>
        <w:keepLines/>
        <w:spacing w:before="0" w:after="80" w:line="290" w:lineRule="auto"/>
        <w:numPr>
          <w:ilvl w:val="0"/>
          <w:numId w:val="10"/>
        </w:numPr>
      </w:pPr>
      <w:r>
        <w:rPr>
          <w:rFonts w:ascii="Calibri" w:hAnsi="Calibri"/>
          <w:b/>
          <w:color w:val="243447"/>
          <w:sz w:val="22"/>
        </w:rPr>
        <w:t xml:space="preserve">Pre-existing IP. </w:t>
      </w:r>
      <w:r>
        <w:rPr>
          <w:rFonts w:ascii="Calibri" w:hAnsi="Calibri"/>
          <w:color w:val="243447"/>
          <w:sz w:val="22"/>
        </w:rPr>
        <w:t>AINNA retains ownership of pre-existing NeuralOps architecture, source assets, methods, libraries and know-how unless separately agreed.</w:t>
      </w:r>
    </w:p>
    <w:p>
      <w:pPr>
        <w:keepLines/>
        <w:spacing w:before="0" w:after="80" w:line="290" w:lineRule="auto"/>
        <w:numPr>
          <w:ilvl w:val="0"/>
          <w:numId w:val="10"/>
        </w:numPr>
      </w:pPr>
      <w:r>
        <w:rPr>
          <w:rFonts w:ascii="Calibri" w:hAnsi="Calibri"/>
          <w:b/>
          <w:color w:val="243447"/>
          <w:sz w:val="22"/>
        </w:rPr>
        <w:t xml:space="preserve">Jointly created IP. </w:t>
      </w:r>
      <w:r>
        <w:rPr>
          <w:rFonts w:ascii="Calibri" w:hAnsi="Calibri"/>
          <w:color w:val="243447"/>
          <w:sz w:val="22"/>
        </w:rPr>
        <w:t>Ownership, licensing, territory and commercial rights for jointly funded developments should be documented before work begins.</w:t>
      </w:r>
    </w:p>
    <w:p>
      <w:pPr>
        <w:keepLines/>
        <w:spacing w:before="0" w:after="80" w:line="290" w:lineRule="auto"/>
        <w:numPr>
          <w:ilvl w:val="0"/>
          <w:numId w:val="10"/>
        </w:numPr>
      </w:pPr>
      <w:r>
        <w:rPr>
          <w:rFonts w:ascii="Calibri" w:hAnsi="Calibri"/>
          <w:b/>
          <w:color w:val="243447"/>
          <w:sz w:val="22"/>
        </w:rPr>
        <w:t xml:space="preserve">Saudi data. </w:t>
      </w:r>
      <w:r>
        <w:rPr>
          <w:rFonts w:ascii="Calibri" w:hAnsi="Calibri"/>
          <w:color w:val="243447"/>
          <w:sz w:val="22"/>
        </w:rPr>
        <w:t>Saudi partner and customer data remains under the control of the relevant owner and is used only for authorised purposes.</w:t>
      </w:r>
    </w:p>
    <w:p>
      <w:pPr>
        <w:keepLines/>
        <w:spacing w:before="0" w:after="80" w:line="290" w:lineRule="auto"/>
        <w:numPr>
          <w:ilvl w:val="0"/>
          <w:numId w:val="10"/>
        </w:numPr>
      </w:pPr>
      <w:r>
        <w:rPr>
          <w:rFonts w:ascii="Calibri" w:hAnsi="Calibri"/>
          <w:b/>
          <w:color w:val="243447"/>
          <w:sz w:val="22"/>
        </w:rPr>
        <w:t xml:space="preserve">Localisation assets. </w:t>
      </w:r>
      <w:r>
        <w:rPr>
          <w:rFonts w:ascii="Calibri" w:hAnsi="Calibri"/>
          <w:color w:val="243447"/>
          <w:sz w:val="22"/>
        </w:rPr>
        <w:t>Arabic evaluation sets, taxonomies, adapters and sector modules require clearly defined ownership and reuse rights.</w:t>
      </w:r>
    </w:p>
    <w:p>
      <w:pPr>
        <w:keepLines/>
        <w:spacing w:before="0" w:after="80" w:line="290" w:lineRule="auto"/>
        <w:numPr>
          <w:ilvl w:val="0"/>
          <w:numId w:val="10"/>
        </w:numPr>
      </w:pPr>
      <w:r>
        <w:rPr>
          <w:rFonts w:ascii="Calibri" w:hAnsi="Calibri"/>
          <w:b/>
          <w:color w:val="243447"/>
          <w:sz w:val="22"/>
        </w:rPr>
        <w:t xml:space="preserve">Commercial models. </w:t>
      </w:r>
      <w:r>
        <w:rPr>
          <w:rFonts w:ascii="Calibri" w:hAnsi="Calibri"/>
          <w:color w:val="243447"/>
          <w:sz w:val="22"/>
        </w:rPr>
        <w:t>Possible structures include software licensing, managed deployment, platform subscription, implementation fees, support agreements, sector-module fees and partner revenue sharing.</w:t>
      </w:r>
    </w:p>
    <w:p>
      <w:pPr>
        <w:keepLines/>
        <w:spacing w:before="0" w:after="80" w:line="290" w:lineRule="auto"/>
        <w:numPr>
          <w:ilvl w:val="0"/>
          <w:numId w:val="10"/>
        </w:numPr>
      </w:pPr>
      <w:r>
        <w:rPr>
          <w:rFonts w:ascii="Calibri" w:hAnsi="Calibri"/>
          <w:b/>
          <w:color w:val="243447"/>
          <w:sz w:val="22"/>
        </w:rPr>
        <w:t>Local participation. TAFE JD should serve as the primary consortium partner for Saudi market-entry, local establishment, government/regulatory coordination and operational enablement, while additional Saudi implementation, infrastructure and support partners may be appointed where appropriate.</w:t>
      </w:r>
    </w:p>
    <w:p>
      <w:pPr>
        <w:keepLines/>
        <w:spacing w:before="0" w:after="80" w:line="290" w:lineRule="auto"/>
        <w:numPr>
          <w:ilvl w:val="0"/>
          <w:numId w:val="10"/>
        </w:numPr>
      </w:pPr>
      <w:r>
        <w:rPr>
          <w:rFonts w:ascii="Calibri" w:hAnsi="Calibri"/>
          <w:b/>
          <w:color w:val="243447"/>
          <w:sz w:val="22"/>
        </w:rPr>
        <w:t>Consortium commercial alignment and procurement pathway. Before execution, define AINNA, TAFE JD and PCG Edge responsibilities for contracting, lead ownership, investment/fundraising support, revenue sharing, territory/exclusivity, local delivery and procurement. Product packaging, security evidence, service levels and vendor requirements should be developed early, not after the technology is complete.</w:t>
      </w:r>
    </w:p>
    <w:p>
      <w:pPr>
        <w:pStyle w:val="Heading1"/>
        <w:keepNext/>
      </w:pPr>
      <w:r>
        <w:t>13. Indicative Resource and Budget Framework</w:t>
      </w:r>
    </w:p>
    <w:p>
      <w:pPr>
        <w:keepLines w:val="0"/>
        <w:spacing w:before="0" w:after="160" w:line="320" w:lineRule="auto"/>
      </w:pPr>
      <w:r>
        <w:rPr>
          <w:rFonts w:ascii="Calibri" w:hAnsi="Calibri"/>
          <w:b w:val="0"/>
          <w:i w:val="0"/>
          <w:color w:val="243447"/>
          <w:sz w:val="22"/>
        </w:rPr>
        <w:t>A detailed budget should be prepared only after MIGHT and the AINNA-TAFE JD-PCG Edge consortium confirm the first Saudi partners, infrastructure approach and sector scope. The budget should separately identify:</w:t>
      </w:r>
    </w:p>
    <w:p>
      <w:pPr>
        <w:keepLines/>
        <w:spacing w:before="0" w:after="80" w:line="290" w:lineRule="auto"/>
        <w:numPr>
          <w:ilvl w:val="0"/>
          <w:numId w:val="10"/>
        </w:numPr>
      </w:pPr>
      <w:r>
        <w:rPr>
          <w:rFonts w:ascii="Calibri" w:hAnsi="Calibri"/>
          <w:color w:val="243447"/>
          <w:sz w:val="22"/>
        </w:rPr>
        <w:t>AINNA engineering, product, programme and sector-delivery personnel.</w:t>
      </w:r>
    </w:p>
    <w:p>
      <w:pPr>
        <w:keepLines/>
        <w:spacing w:before="0" w:after="80" w:line="290" w:lineRule="auto"/>
        <w:numPr>
          <w:ilvl w:val="0"/>
          <w:numId w:val="10"/>
        </w:numPr>
      </w:pPr>
      <w:r>
        <w:rPr>
          <w:rFonts w:ascii="Calibri" w:hAnsi="Calibri"/>
          <w:color w:val="243447"/>
          <w:sz w:val="22"/>
        </w:rPr>
        <w:t>Saudi cloud, data-centre, accelerator, storage, network and observability costs or in-kind infrastructure support.</w:t>
      </w:r>
    </w:p>
    <w:p>
      <w:pPr>
        <w:keepLines/>
        <w:spacing w:before="0" w:after="80" w:line="290" w:lineRule="auto"/>
        <w:numPr>
          <w:ilvl w:val="0"/>
          <w:numId w:val="10"/>
        </w:numPr>
      </w:pPr>
      <w:r>
        <w:rPr>
          <w:rFonts w:ascii="Calibri" w:hAnsi="Calibri"/>
          <w:color w:val="243447"/>
          <w:sz w:val="22"/>
        </w:rPr>
        <w:t>Arabic localisation, sector expertise, evaluation data and user research.</w:t>
      </w:r>
    </w:p>
    <w:p>
      <w:pPr>
        <w:keepLines/>
        <w:spacing w:before="0" w:after="80" w:line="290" w:lineRule="auto"/>
        <w:numPr>
          <w:ilvl w:val="0"/>
          <w:numId w:val="10"/>
        </w:numPr>
      </w:pPr>
      <w:r>
        <w:rPr>
          <w:rFonts w:ascii="Calibri" w:hAnsi="Calibri"/>
          <w:color w:val="243447"/>
          <w:sz w:val="22"/>
        </w:rPr>
        <w:t>Security, privacy, legal, compliance and independent technical review.</w:t>
      </w:r>
    </w:p>
    <w:p>
      <w:pPr>
        <w:keepLines/>
        <w:spacing w:before="0" w:after="80" w:line="290" w:lineRule="auto"/>
        <w:numPr>
          <w:ilvl w:val="0"/>
          <w:numId w:val="10"/>
        </w:numPr>
      </w:pPr>
      <w:r>
        <w:rPr>
          <w:rFonts w:ascii="Calibri" w:hAnsi="Calibri"/>
          <w:color w:val="243447"/>
          <w:sz w:val="22"/>
        </w:rPr>
        <w:t>Integration, deployment, change management, training and local support.</w:t>
      </w:r>
    </w:p>
    <w:p>
      <w:pPr>
        <w:keepLines/>
        <w:spacing w:before="0" w:after="80" w:line="290" w:lineRule="auto"/>
        <w:numPr>
          <w:ilvl w:val="0"/>
          <w:numId w:val="10"/>
        </w:numPr>
      </w:pPr>
      <w:r>
        <w:rPr>
          <w:rFonts w:ascii="Calibri" w:hAnsi="Calibri"/>
          <w:color w:val="243447"/>
          <w:sz w:val="22"/>
        </w:rPr>
        <w:t>Commercialisation, partner enablement, procurement preparation and regional business development.</w:t>
      </w:r>
    </w:p>
    <w:p>
      <w:pPr>
        <w:keepLines/>
        <w:spacing w:before="0" w:after="80" w:line="290" w:lineRule="auto"/>
        <w:numPr>
          <w:ilvl w:val="0"/>
          <w:numId w:val="10"/>
        </w:numPr>
      </w:pPr>
      <w:r>
        <w:rPr>
          <w:rFonts w:ascii="Calibri" w:hAnsi="Calibri"/>
          <w:color w:val="243447"/>
          <w:sz w:val="22"/>
        </w:rPr>
        <w:t>Contingency for integration complexity, data preparation and infrastructure variation.</w:t>
      </w:r>
    </w:p>
    <w:tbl>
      <w:tblPr>
        <w:tblW w:type="dxa" w:w="9360"/>
        <w:jc w:val="left"/>
        <w:tblLayout w:type="fixed"/>
        <w:tblLook w:firstColumn="1" w:firstRow="1" w:lastColumn="0" w:lastRow="0" w:noHBand="0" w:noVBand="1" w:val="04A0"/>
        <w:tblInd w:w="120" w:type="dxa"/>
        <w:tblBorders>
          <w:top w:val="single" w:sz="8" w:space="0" w:color="D7DEE8"/>
          <w:left w:val="single" w:sz="8" w:space="0" w:color="D7DEE8"/>
          <w:bottom w:val="single" w:sz="8" w:space="0" w:color="D7DEE8"/>
          <w:right w:val="single" w:sz="8" w:space="0" w:color="D7DEE8"/>
          <w:insideH w:val="single" w:sz="8" w:space="0" w:color="D7DEE8"/>
          <w:insideV w:val="single" w:sz="8" w:space="0" w:color="D7DEE8"/>
        </w:tblBorders>
      </w:tblPr>
      <w:tblGrid>
        <w:gridCol w:w="9360"/>
      </w:tblGrid>
      <w:tr>
        <w:trPr>
          <w:cantSplit w:val="true"/>
        </w:trPr>
        <w:tc>
          <w:tcPr>
            <w:tcW w:type="dxa" w:w="9360"/>
            <w:tcMar>
              <w:top w:w="150" w:type="dxa"/>
              <w:start w:w="180" w:type="dxa"/>
              <w:bottom w:w="150" w:type="dxa"/>
              <w:end w:w="180" w:type="dxa"/>
            </w:tcMar>
            <w:vAlign w:val="center"/>
            <w:shd w:fill="F4F6F9"/>
          </w:tcPr>
          <w:p>
            <w:pPr>
              <w:spacing w:before="0" w:after="40" w:line="283" w:lineRule="auto"/>
            </w:pPr>
            <w:r>
              <w:rPr>
                <w:rFonts w:ascii="Calibri" w:hAnsi="Calibri"/>
                <w:b/>
                <w:color w:val="C69214"/>
                <w:sz w:val="19"/>
              </w:rPr>
              <w:t>FUNDING PRINCIPLE  The programme may combine AINNA contribution, Saudi partner funding, infrastructure credits, corporate co-development, bilateral support, grants and strategic investment. PCG Edge can support investment structuring and capital-pathway development within its agreed consortium mandate. The final structure should preserve commercial discipline, clear approval authority and clear ownership.</w:t>
            </w:r>
          </w:p>
        </w:tc>
      </w:tr>
    </w:tbl>
    <w:p>
      <w:pPr>
        <w:keepLines w:val="0"/>
        <w:spacing w:before="0" w:after="60" w:line="320" w:lineRule="auto"/>
      </w:pPr>
      <w:r>
        <w:rPr>
          <w:rFonts w:ascii="Calibri" w:hAnsi="Calibri"/>
          <w:b w:val="0"/>
          <w:i w:val="0"/>
          <w:color w:val="243447"/>
          <w:sz w:val="4"/>
        </w:rPr>
      </w:r>
    </w:p>
    <w:p>
      <w:pPr>
        <w:pStyle w:val="Heading1"/>
        <w:keepNext/>
      </w:pPr>
      <w:r>
        <w:t>14. Key Risks and Mitigation</w:t>
      </w:r>
    </w:p>
    <w:tbl>
      <w:tblPr>
        <w:tblW w:type="dxa" w:w="9360"/>
        <w:tblLayout w:type="fixed"/>
        <w:tblLook w:firstColumn="1" w:firstRow="1" w:lastColumn="0" w:lastRow="0" w:noHBand="0" w:noVBand="1" w:val="04A0"/>
        <w:jc w:val="left"/>
        <w:tblInd w:w="120" w:type="dxa"/>
        <w:tblBorders>
          <w:top w:val="single" w:sz="6" w:space="0" w:color="D7DEE8"/>
          <w:left w:val="single" w:sz="6" w:space="0" w:color="D7DEE8"/>
          <w:bottom w:val="single" w:sz="6" w:space="0" w:color="D7DEE8"/>
          <w:right w:val="single" w:sz="6" w:space="0" w:color="D7DEE8"/>
          <w:insideH w:val="single" w:sz="6" w:space="0" w:color="D7DEE8"/>
          <w:insideV w:val="single" w:sz="6" w:space="0" w:color="D7DEE8"/>
        </w:tblBorders>
      </w:tblPr>
      <w:tblGrid>
        <w:gridCol w:w="1950"/>
        <w:gridCol w:w="2760"/>
        <w:gridCol w:w="4650"/>
      </w:tblGrid>
      <w:tr>
        <w:trPr>
          <w:cantSplit w:val="true"/>
          <w:tblHeader w:val="true"/>
        </w:trPr>
        <w:tc>
          <w:tcPr>
            <w:tcW w:type="dxa" w:w="195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Risk</w:t>
            </w:r>
          </w:p>
        </w:tc>
        <w:tc>
          <w:tcPr>
            <w:tcW w:type="dxa" w:w="276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Potential Effect</w:t>
            </w:r>
          </w:p>
        </w:tc>
        <w:tc>
          <w:tcPr>
            <w:tcW w:type="dxa" w:w="465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Mitigation</w:t>
            </w:r>
          </w:p>
        </w:tc>
      </w:tr>
      <w:tr>
        <w:trPr>
          <w:cantSplit w:val="true"/>
        </w:trPr>
        <w:tc>
          <w:tcPr>
            <w:tcW w:type="dxa" w:w="19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Uncontrolled scope</w:t>
            </w:r>
          </w:p>
        </w:tc>
        <w:tc>
          <w:tcPr>
            <w:tcW w:type="dxa" w:w="276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Slow delivery and diluted value.</w:t>
            </w:r>
          </w:p>
        </w:tc>
        <w:tc>
          <w:tcPr>
            <w:tcW w:type="dxa" w:w="46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Limit the first portfolio to agreed reusable capabilities and 2-3 priority sectors.</w:t>
            </w:r>
          </w:p>
        </w:tc>
      </w:tr>
      <w:tr>
        <w:trPr>
          <w:cantSplit w:val="true"/>
        </w:trPr>
        <w:tc>
          <w:tcPr>
            <w:tcW w:type="dxa" w:w="19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Insufficient data access</w:t>
            </w:r>
          </w:p>
        </w:tc>
        <w:tc>
          <w:tcPr>
            <w:tcW w:type="dxa" w:w="276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Weak localisation or delayed integration.</w:t>
            </w:r>
          </w:p>
        </w:tc>
        <w:tc>
          <w:tcPr>
            <w:tcW w:type="dxa" w:w="46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Define data, approvals, synthetic alternatives and owner responsibilities during Foundation.</w:t>
            </w:r>
          </w:p>
        </w:tc>
      </w:tr>
      <w:tr>
        <w:trPr>
          <w:cantSplit w:val="true"/>
        </w:trPr>
        <w:tc>
          <w:tcPr>
            <w:tcW w:type="dxa" w:w="19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Unverified efficiency claims</w:t>
            </w:r>
          </w:p>
        </w:tc>
        <w:tc>
          <w:tcPr>
            <w:tcW w:type="dxa" w:w="276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Credibility and procurement risk.</w:t>
            </w:r>
          </w:p>
        </w:tc>
        <w:tc>
          <w:tcPr>
            <w:tcW w:type="dxa" w:w="46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Pre-agree baselines, telemetry and independent review; publish only supported results.</w:t>
            </w:r>
          </w:p>
        </w:tc>
      </w:tr>
      <w:tr>
        <w:trPr>
          <w:cantSplit w:val="true"/>
        </w:trPr>
        <w:tc>
          <w:tcPr>
            <w:tcW w:type="dxa" w:w="19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Integration complexity</w:t>
            </w:r>
          </w:p>
        </w:tc>
        <w:tc>
          <w:tcPr>
            <w:tcW w:type="dxa" w:w="276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Cost and schedule overruns.</w:t>
            </w:r>
          </w:p>
        </w:tc>
        <w:tc>
          <w:tcPr>
            <w:tcW w:type="dxa" w:w="46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Use API-first connectors, architecture discovery and staged system integration.</w:t>
            </w:r>
          </w:p>
        </w:tc>
      </w:tr>
      <w:tr>
        <w:trPr>
          <w:cantSplit w:val="true"/>
        </w:trPr>
        <w:tc>
          <w:tcPr>
            <w:tcW w:type="dxa" w:w="19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Regulatory or residency constraints</w:t>
            </w:r>
          </w:p>
        </w:tc>
        <w:tc>
          <w:tcPr>
            <w:tcW w:type="dxa" w:w="276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Deployment redesign or blocked use cases.</w:t>
            </w:r>
          </w:p>
        </w:tc>
        <w:tc>
          <w:tcPr>
            <w:tcW w:type="dxa" w:w="46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Engage Saudi legal, privacy, security and sector advisers from mobilisation.</w:t>
            </w:r>
          </w:p>
        </w:tc>
      </w:tr>
      <w:tr>
        <w:trPr>
          <w:cantSplit w:val="true"/>
        </w:trPr>
        <w:tc>
          <w:tcPr>
            <w:tcW w:type="dxa" w:w="19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Model/provider dependency</w:t>
            </w:r>
          </w:p>
        </w:tc>
        <w:tc>
          <w:tcPr>
            <w:tcW w:type="dxa" w:w="276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Cost, availability or policy exposure.</w:t>
            </w:r>
          </w:p>
        </w:tc>
        <w:tc>
          <w:tcPr>
            <w:tcW w:type="dxa" w:w="46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Use a governed multi-model abstraction and portable deployment patterns.</w:t>
            </w:r>
          </w:p>
        </w:tc>
      </w:tr>
      <w:tr>
        <w:trPr>
          <w:cantSplit w:val="true"/>
        </w:trPr>
        <w:tc>
          <w:tcPr>
            <w:tcW w:type="dxa" w:w="19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Talent and support gap</w:t>
            </w:r>
          </w:p>
        </w:tc>
        <w:tc>
          <w:tcPr>
            <w:tcW w:type="dxa" w:w="276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Operational dependence on a small team.</w:t>
            </w:r>
          </w:p>
        </w:tc>
        <w:tc>
          <w:tcPr>
            <w:tcW w:type="dxa" w:w="46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6"/>
              </w:rPr>
              <w:t>Build local documentation, training, partner certification and support capability.</w:t>
            </w:r>
          </w:p>
        </w:tc>
      </w:tr>
      <w:tr>
        <w:trPr>
          <w:cantSplit w:val="true"/>
        </w:trPr>
        <w:tc>
          <w:tcPr>
            <w:tcW w:type="dxa" w:w="1950"/>
            <w:shd w:fill="F4F6F9"/>
            <w:tcMar>
              <w:top w:w="80" w:type="dxa"/>
              <w:start w:w="120" w:type="dxa"/>
              <w:bottom w:w="80" w:type="dxa"/>
              <w:end w:w="120" w:type="dxa"/>
            </w:tcMar>
            <w:vAlign w:val="center"/>
          </w:tcPr>
          <w:p>
            <w:pPr>
              <w:spacing w:before="0" w:after="0" w:line="259" w:lineRule="auto"/>
              <w:jc w:val="left"/>
            </w:pPr>
            <w:r>
              <w:t>Unclear consortium or commercial ownership</w:t>
            </w:r>
          </w:p>
        </w:tc>
        <w:tc>
          <w:tcPr>
            <w:tcW w:type="dxa" w:w="2760"/>
            <w:shd w:fill="F4F6F9"/>
            <w:tcMar>
              <w:top w:w="80" w:type="dxa"/>
              <w:start w:w="120" w:type="dxa"/>
              <w:bottom w:w="80" w:type="dxa"/>
              <w:end w:w="120" w:type="dxa"/>
            </w:tcMar>
            <w:vAlign w:val="center"/>
          </w:tcPr>
          <w:p>
            <w:pPr>
              <w:spacing w:before="0" w:after="0" w:line="259" w:lineRule="auto"/>
              <w:jc w:val="left"/>
            </w:pPr>
            <w:r>
              <w:t>Role conflict, duplicated engagement, delayed contracting or development without adoption.</w:t>
            </w:r>
          </w:p>
        </w:tc>
        <w:tc>
          <w:tcPr>
            <w:tcW w:type="dxa" w:w="4650"/>
            <w:shd w:fill="F4F6F9"/>
            <w:tcMar>
              <w:top w:w="80" w:type="dxa"/>
              <w:start w:w="120" w:type="dxa"/>
              <w:bottom w:w="80" w:type="dxa"/>
              <w:end w:w="120" w:type="dxa"/>
            </w:tcMar>
            <w:vAlign w:val="center"/>
          </w:tcPr>
          <w:p>
            <w:pPr>
              <w:spacing w:before="0" w:after="0" w:line="259" w:lineRule="auto"/>
              <w:jc w:val="left"/>
            </w:pPr>
            <w:r>
              <w:t>Define AINNA, TAFE JD and PCG Edge RACI, contracting authority, lead ownership, revenue model and Saudi procurement sponsor during mobilisation.</w:t>
            </w:r>
          </w:p>
        </w:tc>
      </w:tr>
    </w:tbl>
    <w:p>
      <w:pPr>
        <w:keepLines w:val="0"/>
        <w:spacing w:before="0" w:after="60" w:line="320" w:lineRule="auto"/>
      </w:pPr>
      <w:r>
        <w:rPr>
          <w:rFonts w:ascii="Calibri" w:hAnsi="Calibri"/>
          <w:b w:val="0"/>
          <w:i w:val="0"/>
          <w:color w:val="243447"/>
          <w:sz w:val="4"/>
        </w:rPr>
      </w:r>
    </w:p>
    <w:p>
      <w:pPr>
        <w:pStyle w:val="Heading1"/>
        <w:keepNext/>
      </w:pPr>
      <w:r>
        <w:t>15. Expected Strategic Outcomes</w:t>
      </w:r>
    </w:p>
    <w:p>
      <w:pPr>
        <w:pStyle w:val="Heading2"/>
        <w:keepNext/>
      </w:pPr>
      <w:r>
        <w:t>For Saudi Arabia</w:t>
      </w:r>
    </w:p>
    <w:p>
      <w:pPr>
        <w:keepLines/>
        <w:spacing w:before="0" w:after="80" w:line="290" w:lineRule="auto"/>
        <w:numPr>
          <w:ilvl w:val="0"/>
          <w:numId w:val="10"/>
        </w:numPr>
      </w:pPr>
      <w:r>
        <w:rPr>
          <w:rFonts w:ascii="Calibri" w:hAnsi="Calibri"/>
          <w:color w:val="243447"/>
          <w:sz w:val="22"/>
        </w:rPr>
        <w:t>A localised AI orchestration layer that improves the utilisation of expanding AI infrastructure.</w:t>
      </w:r>
    </w:p>
    <w:p>
      <w:pPr>
        <w:keepLines/>
        <w:spacing w:before="0" w:after="80" w:line="290" w:lineRule="auto"/>
        <w:numPr>
          <w:ilvl w:val="0"/>
          <w:numId w:val="10"/>
        </w:numPr>
      </w:pPr>
      <w:r>
        <w:rPr>
          <w:rFonts w:ascii="Calibri" w:hAnsi="Calibri"/>
          <w:color w:val="243447"/>
          <w:sz w:val="22"/>
        </w:rPr>
        <w:t>Reusable multi-industry capabilities rather than disconnected AI applications.</w:t>
      </w:r>
    </w:p>
    <w:p>
      <w:pPr>
        <w:keepLines/>
        <w:spacing w:before="0" w:after="80" w:line="290" w:lineRule="auto"/>
        <w:numPr>
          <w:ilvl w:val="0"/>
          <w:numId w:val="10"/>
        </w:numPr>
      </w:pPr>
      <w:r>
        <w:rPr>
          <w:rFonts w:ascii="Calibri" w:hAnsi="Calibri"/>
          <w:color w:val="243447"/>
          <w:sz w:val="22"/>
        </w:rPr>
        <w:t>Arabic and sector-specific development with measurable reliability, cost and resource outcomes.</w:t>
      </w:r>
    </w:p>
    <w:p>
      <w:pPr>
        <w:keepLines/>
        <w:spacing w:before="0" w:after="80" w:line="290" w:lineRule="auto"/>
        <w:numPr>
          <w:ilvl w:val="0"/>
          <w:numId w:val="10"/>
        </w:numPr>
      </w:pPr>
      <w:r>
        <w:rPr>
          <w:rFonts w:ascii="Calibri" w:hAnsi="Calibri"/>
          <w:color w:val="243447"/>
          <w:sz w:val="22"/>
        </w:rPr>
        <w:t>Local capability, TAFE JD-led market-entry and operational participation, partner development, and pathways for new intellectual property and commercial services.</w:t>
      </w:r>
    </w:p>
    <w:p>
      <w:pPr>
        <w:keepLines/>
        <w:spacing w:before="0" w:after="80" w:line="290" w:lineRule="auto"/>
        <w:numPr>
          <w:ilvl w:val="0"/>
          <w:numId w:val="10"/>
        </w:numPr>
      </w:pPr>
      <w:r>
        <w:rPr>
          <w:rFonts w:ascii="Calibri" w:hAnsi="Calibri"/>
          <w:color w:val="243447"/>
          <w:sz w:val="22"/>
        </w:rPr>
        <w:t>A potential platform for scaling practical AI solutions across the GCC.</w:t>
      </w:r>
    </w:p>
    <w:p>
      <w:pPr>
        <w:pStyle w:val="Heading2"/>
        <w:keepNext/>
      </w:pPr>
      <w:r>
        <w:t>For Malaysia and MIGHT</w:t>
      </w:r>
    </w:p>
    <w:p>
      <w:pPr>
        <w:keepLines/>
        <w:spacing w:before="0" w:after="80" w:line="290" w:lineRule="auto"/>
        <w:numPr>
          <w:ilvl w:val="0"/>
          <w:numId w:val="10"/>
        </w:numPr>
      </w:pPr>
      <w:r>
        <w:rPr>
          <w:rFonts w:ascii="Calibri" w:hAnsi="Calibri"/>
          <w:color w:val="243447"/>
          <w:sz w:val="22"/>
        </w:rPr>
        <w:t>Internationalisation of Malaysian-developed AI architecture and implementation capability.</w:t>
      </w:r>
    </w:p>
    <w:p>
      <w:pPr>
        <w:keepLines/>
        <w:spacing w:before="0" w:after="80" w:line="290" w:lineRule="auto"/>
        <w:numPr>
          <w:ilvl w:val="0"/>
          <w:numId w:val="10"/>
        </w:numPr>
      </w:pPr>
      <w:r>
        <w:rPr>
          <w:rFonts w:ascii="Calibri" w:hAnsi="Calibri"/>
          <w:color w:val="243447"/>
          <w:sz w:val="22"/>
        </w:rPr>
        <w:t>A visible Malaysia-Saudi technology collaboration aligned with high-technology partnership and commercialisation.</w:t>
      </w:r>
    </w:p>
    <w:p>
      <w:pPr>
        <w:keepLines/>
        <w:spacing w:before="0" w:after="80" w:line="290" w:lineRule="auto"/>
        <w:numPr>
          <w:ilvl w:val="0"/>
          <w:numId w:val="10"/>
        </w:numPr>
      </w:pPr>
      <w:r>
        <w:rPr>
          <w:rFonts w:ascii="Calibri" w:hAnsi="Calibri"/>
          <w:color w:val="243447"/>
          <w:sz w:val="22"/>
        </w:rPr>
        <w:t>New export, investment, research and talent-development opportunities.</w:t>
      </w:r>
    </w:p>
    <w:p>
      <w:pPr>
        <w:keepLines/>
        <w:spacing w:before="0" w:after="80" w:line="290" w:lineRule="auto"/>
        <w:numPr>
          <w:ilvl w:val="0"/>
          <w:numId w:val="10"/>
        </w:numPr>
      </w:pPr>
      <w:r>
        <w:rPr>
          <w:rFonts w:ascii="Calibri" w:hAnsi="Calibri"/>
          <w:color w:val="243447"/>
          <w:sz w:val="22"/>
        </w:rPr>
        <w:t>A repeatable consortium pathway combining Malaysian technology, Saudi market execution and investment/commercial structuring for entry into Saudi and GCC ecosystems.</w:t>
      </w:r>
    </w:p>
    <w:p>
      <w:pPr>
        <w:pStyle w:val="Heading2"/>
        <w:keepNext/>
      </w:pPr>
      <w:r>
        <w:t>For AINNA</w:t>
      </w:r>
    </w:p>
    <w:p>
      <w:pPr>
        <w:keepLines/>
        <w:spacing w:before="0" w:after="80" w:line="290" w:lineRule="auto"/>
        <w:numPr>
          <w:ilvl w:val="0"/>
          <w:numId w:val="10"/>
        </w:numPr>
      </w:pPr>
      <w:r>
        <w:rPr>
          <w:rFonts w:ascii="Calibri" w:hAnsi="Calibri"/>
          <w:color w:val="243447"/>
          <w:sz w:val="22"/>
        </w:rPr>
        <w:t>Access to infrastructure and partners required to mature NeuralOps at greater scale.</w:t>
      </w:r>
    </w:p>
    <w:p>
      <w:pPr>
        <w:keepLines/>
        <w:spacing w:before="0" w:after="80" w:line="290" w:lineRule="auto"/>
        <w:numPr>
          <w:ilvl w:val="0"/>
          <w:numId w:val="10"/>
        </w:numPr>
      </w:pPr>
      <w:r>
        <w:rPr>
          <w:rFonts w:ascii="Calibri" w:hAnsi="Calibri"/>
          <w:color w:val="243447"/>
          <w:sz w:val="22"/>
        </w:rPr>
        <w:t>Arabic, enterprise, public-sector and industrial product capability.</w:t>
      </w:r>
    </w:p>
    <w:p>
      <w:pPr>
        <w:keepLines/>
        <w:spacing w:before="0" w:after="80" w:line="290" w:lineRule="auto"/>
        <w:numPr>
          <w:ilvl w:val="0"/>
          <w:numId w:val="10"/>
        </w:numPr>
      </w:pPr>
      <w:r>
        <w:rPr>
          <w:rFonts w:ascii="Calibri" w:hAnsi="Calibri"/>
          <w:color w:val="243447"/>
          <w:sz w:val="22"/>
        </w:rPr>
        <w:t>Production evidence for reliability, token, compute, energy and cost optimisation.</w:t>
      </w:r>
    </w:p>
    <w:p>
      <w:pPr>
        <w:keepLines/>
        <w:spacing w:before="0" w:after="80" w:line="290" w:lineRule="auto"/>
        <w:numPr>
          <w:ilvl w:val="0"/>
          <w:numId w:val="10"/>
        </w:numPr>
      </w:pPr>
      <w:r>
        <w:rPr>
          <w:rFonts w:ascii="Calibri" w:hAnsi="Calibri"/>
          <w:color w:val="243447"/>
          <w:sz w:val="22"/>
        </w:rPr>
        <w:t>A Saudi-based commercial platform supported by TAFE JD local execution and PCG Edge investment/commercial structuring for GCC and international growth.</w:t>
      </w:r>
    </w:p>
    <w:p>
      <w:pPr>
        <w:pStyle w:val="Heading1"/>
        <w:keepNext/>
      </w:pPr>
      <w:r>
        <w:t>16. Decision Requested from MIGHT</w:t>
      </w:r>
    </w:p>
    <w:p>
      <w:pPr>
        <w:keepLines w:val="0"/>
        <w:spacing w:before="0" w:after="160" w:line="320" w:lineRule="auto"/>
      </w:pPr>
      <w:r>
        <w:rPr>
          <w:rFonts w:ascii="Calibri" w:hAnsi="Calibri"/>
          <w:b w:val="0"/>
          <w:i w:val="0"/>
          <w:color w:val="243447"/>
          <w:sz w:val="22"/>
        </w:rPr>
        <w:t>AINNA respectfully requests MIGHT's agreement to proceed with the following consortium-based actions:</w:t>
      </w:r>
    </w:p>
    <w:p>
      <w:pPr>
        <w:keepLines/>
        <w:spacing w:before="0" w:after="80" w:line="290" w:lineRule="auto"/>
        <w:numPr>
          <w:ilvl w:val="0"/>
          <w:numId w:val="15"/>
        </w:numPr>
      </w:pPr>
      <w:r>
        <w:rPr>
          <w:rFonts w:ascii="Calibri" w:hAnsi="Calibri"/>
          <w:color w:val="243447"/>
          <w:sz w:val="22"/>
        </w:rPr>
        <w:t>Nominate a MIGHT focal person for the AINNA-Saudi NeuralOps initiative.</w:t>
      </w:r>
    </w:p>
    <w:p>
      <w:pPr>
        <w:keepLines/>
        <w:spacing w:before="0" w:after="80" w:line="290" w:lineRule="auto"/>
        <w:numPr>
          <w:ilvl w:val="0"/>
          <w:numId w:val="15"/>
        </w:numPr>
      </w:pPr>
      <w:r>
        <w:rPr>
          <w:rFonts w:ascii="Calibri" w:hAnsi="Calibri"/>
          <w:color w:val="243447"/>
          <w:sz w:val="22"/>
        </w:rPr>
        <w:t>Conduct a joint strategic scoping workshop with AINNA, TAFE JD and PCG Edge.</w:t>
      </w:r>
    </w:p>
    <w:p>
      <w:pPr>
        <w:keepLines/>
        <w:spacing w:before="0" w:after="80" w:line="290" w:lineRule="auto"/>
        <w:numPr>
          <w:ilvl w:val="0"/>
          <w:numId w:val="15"/>
        </w:numPr>
      </w:pPr>
      <w:r>
        <w:rPr>
          <w:rFonts w:ascii="Calibri" w:hAnsi="Calibri"/>
          <w:color w:val="243447"/>
          <w:sz w:val="22"/>
        </w:rPr>
        <w:t>Confirm the proposed consortium structure and develop a prioritised map of Saudi stakeholders, development partners and host organisations.</w:t>
      </w:r>
    </w:p>
    <w:p>
      <w:pPr>
        <w:keepLines/>
        <w:spacing w:before="0" w:after="80" w:line="290" w:lineRule="auto"/>
        <w:numPr>
          <w:ilvl w:val="0"/>
          <w:numId w:val="15"/>
        </w:numPr>
      </w:pPr>
      <w:r>
        <w:rPr>
          <w:rFonts w:ascii="Calibri" w:hAnsi="Calibri"/>
          <w:color w:val="243447"/>
          <w:sz w:val="22"/>
        </w:rPr>
        <w:t>Facilitate initial consortium engagement with selected Saudi infrastructure, AI, industry, research and investment organisations, coordinated with TAFE JD as the Saudi market-entry partner.</w:t>
      </w:r>
    </w:p>
    <w:p>
      <w:pPr>
        <w:keepLines/>
        <w:spacing w:before="0" w:after="80" w:line="290" w:lineRule="auto"/>
        <w:numPr>
          <w:ilvl w:val="0"/>
          <w:numId w:val="15"/>
        </w:numPr>
      </w:pPr>
      <w:r>
        <w:rPr>
          <w:rFonts w:ascii="Calibri" w:hAnsi="Calibri"/>
          <w:color w:val="243447"/>
          <w:sz w:val="22"/>
        </w:rPr>
        <w:t>Help define the validation, governance, programme, investment and commercialisation structure, including a clear RACI for AINNA, TAFE JD and PCG Edge.</w:t>
      </w:r>
    </w:p>
    <w:p>
      <w:pPr>
        <w:keepLines/>
        <w:spacing w:before="0" w:after="80" w:line="290" w:lineRule="auto"/>
        <w:numPr>
          <w:ilvl w:val="0"/>
          <w:numId w:val="15"/>
        </w:numPr>
      </w:pPr>
      <w:r>
        <w:rPr>
          <w:rFonts w:ascii="Calibri" w:hAnsi="Calibri"/>
          <w:color w:val="243447"/>
          <w:sz w:val="22"/>
        </w:rPr>
        <w:t>Prepare an agreed concept note, resource plan and memorandum of understanding that formalises consortium roles, IP principles, commercial responsibilities and the Saudi development pathway.</w:t>
      </w:r>
    </w:p>
    <w:p>
      <w:pPr>
        <w:pStyle w:val="Heading1"/>
        <w:keepNext/>
      </w:pPr>
      <w:r>
        <w:t>17. Immediate 30-60-90 Day Action Plan</w:t>
      </w:r>
    </w:p>
    <w:tbl>
      <w:tblPr>
        <w:tblW w:type="dxa" w:w="9360"/>
        <w:tblLayout w:type="fixed"/>
        <w:tblLook w:firstColumn="1" w:firstRow="1" w:lastColumn="0" w:lastRow="0" w:noHBand="0" w:noVBand="1" w:val="04A0"/>
        <w:jc w:val="left"/>
        <w:tblInd w:w="120" w:type="dxa"/>
        <w:tblBorders>
          <w:top w:val="single" w:sz="6" w:space="0" w:color="D7DEE8"/>
          <w:left w:val="single" w:sz="6" w:space="0" w:color="D7DEE8"/>
          <w:bottom w:val="single" w:sz="6" w:space="0" w:color="D7DEE8"/>
          <w:right w:val="single" w:sz="6" w:space="0" w:color="D7DEE8"/>
          <w:insideH w:val="single" w:sz="6" w:space="0" w:color="D7DEE8"/>
          <w:insideV w:val="single" w:sz="6" w:space="0" w:color="D7DEE8"/>
        </w:tblBorders>
      </w:tblPr>
      <w:tblGrid>
        <w:gridCol w:w="1450"/>
        <w:gridCol w:w="4870"/>
        <w:gridCol w:w="3040"/>
      </w:tblGrid>
      <w:tr>
        <w:trPr>
          <w:cantSplit w:val="true"/>
          <w:tblHeader w:val="true"/>
        </w:trPr>
        <w:tc>
          <w:tcPr>
            <w:tcW w:type="dxa" w:w="145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Period</w:t>
            </w:r>
          </w:p>
        </w:tc>
        <w:tc>
          <w:tcPr>
            <w:tcW w:type="dxa" w:w="487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Priority Actions</w:t>
            </w:r>
          </w:p>
        </w:tc>
        <w:tc>
          <w:tcPr>
            <w:tcW w:type="dxa" w:w="304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Target Output</w:t>
            </w:r>
          </w:p>
        </w:tc>
      </w:tr>
      <w:tr>
        <w:trPr>
          <w:cantSplit w:val="true"/>
        </w:trPr>
        <w:tc>
          <w:tcPr>
            <w:tcW w:type="dxa" w:w="145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7"/>
              </w:rPr>
              <w:t>First 30 days</w:t>
            </w:r>
          </w:p>
        </w:tc>
        <w:tc>
          <w:tcPr>
            <w:tcW w:type="dxa" w:w="4870"/>
            <w:tcMar>
              <w:top w:w="80" w:type="dxa"/>
              <w:start w:w="120" w:type="dxa"/>
              <w:bottom w:w="80" w:type="dxa"/>
              <w:end w:w="120" w:type="dxa"/>
            </w:tcMar>
            <w:vAlign w:val="center"/>
          </w:tcPr>
          <w:p>
            <w:pPr>
              <w:spacing w:before="0" w:after="0" w:line="259" w:lineRule="auto"/>
              <w:jc w:val="left"/>
            </w:pPr>
            <w:r>
              <w:t>Appoint focal points across AINNA, MIGHT, TAFE JD and PCG Edge; execute NDA if needed; hold scoping workshop; confirm consortium RACI, legal-entity naming and priority sectors.</w:t>
            </w:r>
          </w:p>
        </w:tc>
        <w:tc>
          <w:tcPr>
            <w:tcW w:type="dxa" w:w="3040"/>
            <w:tcMar>
              <w:top w:w="80" w:type="dxa"/>
              <w:start w:w="120" w:type="dxa"/>
              <w:bottom w:w="80" w:type="dxa"/>
              <w:end w:w="120" w:type="dxa"/>
            </w:tcMar>
            <w:vAlign w:val="center"/>
          </w:tcPr>
          <w:p>
            <w:pPr>
              <w:spacing w:before="0" w:after="0" w:line="259" w:lineRule="auto"/>
              <w:jc w:val="left"/>
            </w:pPr>
            <w:r>
              <w:t>Mobilisation brief, confirmed consortium map, stakeholder map and responsibility matrix.</w:t>
            </w:r>
          </w:p>
        </w:tc>
      </w:tr>
      <w:tr>
        <w:trPr>
          <w:cantSplit w:val="true"/>
        </w:trPr>
        <w:tc>
          <w:tcPr>
            <w:tcW w:type="dxa" w:w="145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7"/>
              </w:rPr>
              <w:t>Days 31-60</w:t>
            </w:r>
          </w:p>
        </w:tc>
        <w:tc>
          <w:tcPr>
            <w:tcW w:type="dxa" w:w="4870"/>
            <w:shd w:fill="F4F6F9"/>
            <w:tcMar>
              <w:top w:w="80" w:type="dxa"/>
              <w:start w:w="120" w:type="dxa"/>
              <w:bottom w:w="80" w:type="dxa"/>
              <w:end w:w="120" w:type="dxa"/>
            </w:tcMar>
            <w:vAlign w:val="center"/>
          </w:tcPr>
          <w:p>
            <w:pPr>
              <w:spacing w:before="0" w:after="0" w:line="259" w:lineRule="auto"/>
              <w:jc w:val="left"/>
            </w:pPr>
            <w:r>
              <w:t>TAFE JD coordinates Saudi market-entry, government and partner engagement; AINNA confirms architecture and deployment needs; PCG Edge develops commercial, investment and capital-pathway options; consortium outlines budget, data and governance requirements.</w:t>
            </w:r>
          </w:p>
        </w:tc>
        <w:tc>
          <w:tcPr>
            <w:tcW w:type="dxa" w:w="3040"/>
            <w:shd w:fill="F4F6F9"/>
            <w:tcMar>
              <w:top w:w="80" w:type="dxa"/>
              <w:start w:w="120" w:type="dxa"/>
              <w:bottom w:w="80" w:type="dxa"/>
              <w:end w:w="120" w:type="dxa"/>
            </w:tcMar>
            <w:vAlign w:val="center"/>
          </w:tcPr>
          <w:p>
            <w:pPr>
              <w:spacing w:before="0" w:after="0" w:line="259" w:lineRule="auto"/>
              <w:jc w:val="left"/>
            </w:pPr>
            <w:r>
              <w:t>Saudi partner interest, development scope, architecture option, establishment/regulatory pathway and draft commercial/funding model.</w:t>
            </w:r>
          </w:p>
        </w:tc>
      </w:tr>
      <w:tr>
        <w:trPr>
          <w:cantSplit w:val="true"/>
        </w:trPr>
        <w:tc>
          <w:tcPr>
            <w:tcW w:type="dxa" w:w="1450"/>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7"/>
              </w:rPr>
              <w:t>Days 61-90</w:t>
            </w:r>
          </w:p>
        </w:tc>
        <w:tc>
          <w:tcPr>
            <w:tcW w:type="dxa" w:w="4870"/>
            <w:tcMar>
              <w:top w:w="80" w:type="dxa"/>
              <w:start w:w="120" w:type="dxa"/>
              <w:bottom w:w="80" w:type="dxa"/>
              <w:end w:w="120" w:type="dxa"/>
            </w:tcMar>
            <w:vAlign w:val="center"/>
          </w:tcPr>
          <w:p>
            <w:pPr>
              <w:spacing w:before="0" w:after="0" w:line="259" w:lineRule="auto"/>
              <w:jc w:val="left"/>
            </w:pPr>
            <w:r>
              <w:t>Select first Saudi host and infrastructure partners; agree consortium governance, IP principles, investment/commercial roles, evaluation approach and contracting pathway.</w:t>
            </w:r>
          </w:p>
        </w:tc>
        <w:tc>
          <w:tcPr>
            <w:tcW w:type="dxa" w:w="3040"/>
            <w:tcMar>
              <w:top w:w="80" w:type="dxa"/>
              <w:start w:w="120" w:type="dxa"/>
              <w:bottom w:w="80" w:type="dxa"/>
              <w:end w:w="120" w:type="dxa"/>
            </w:tcMar>
            <w:vAlign w:val="center"/>
          </w:tcPr>
          <w:p>
            <w:pPr>
              <w:spacing w:before="0" w:after="0" w:line="259" w:lineRule="auto"/>
              <w:jc w:val="left"/>
            </w:pPr>
            <w:r>
              <w:t>Signed consortium MoU or joint-development framework, Saudi partner pathway and commencement plan.</w:t>
            </w:r>
          </w:p>
        </w:tc>
      </w:tr>
    </w:tbl>
    <w:p>
      <w:pPr>
        <w:keepLines w:val="0"/>
        <w:spacing w:before="0" w:after="60" w:line="320" w:lineRule="auto"/>
      </w:pPr>
      <w:r>
        <w:rPr>
          <w:rFonts w:ascii="Calibri" w:hAnsi="Calibri"/>
          <w:b w:val="0"/>
          <w:i w:val="0"/>
          <w:color w:val="243447"/>
          <w:sz w:val="4"/>
        </w:rPr>
      </w:r>
    </w:p>
    <w:p>
      <w:pPr>
        <w:pStyle w:val="Heading1"/>
        <w:keepNext/>
      </w:pPr>
      <w:r>
        <w:t>18. Conclusion</w:t>
      </w:r>
    </w:p>
    <w:p>
      <w:pPr>
        <w:keepLines w:val="0"/>
        <w:spacing w:before="0" w:after="160" w:line="320" w:lineRule="auto"/>
      </w:pPr>
      <w:r>
        <w:rPr>
          <w:rFonts w:ascii="Calibri" w:hAnsi="Calibri"/>
          <w:b w:val="0"/>
          <w:i w:val="0"/>
          <w:color w:val="243447"/>
          <w:sz w:val="22"/>
        </w:rPr>
        <w:t>The future of AI cannot be measured only by the size of the model or the amount of computing power deployed. It must also be measured by whether the right method was used, whether the output can be trusted, how much resource was consumed, and whether the system produces a useful operational result.</w:t>
      </w:r>
    </w:p>
    <w:p>
      <w:pPr>
        <w:keepLines w:val="0"/>
        <w:spacing w:before="0" w:after="160" w:line="320" w:lineRule="auto"/>
      </w:pPr>
      <w:r>
        <w:rPr>
          <w:rFonts w:ascii="Calibri" w:hAnsi="Calibri"/>
          <w:b w:val="0"/>
          <w:i w:val="0"/>
          <w:color w:val="243447"/>
          <w:sz w:val="22"/>
        </w:rPr>
        <w:t>MIGHT can provide the strategic leverage required to structure credible Malaysia-Saudi collaboration. TAFE JD can provide Saudi market-entry, regulatory, localisation and operational execution. PCG Edge can strengthen investment discipline, commercial structuring and capital pathways. Saudi Arabia can provide the infrastructure, sector access and scaling leverage required to build NeuralOps into a broader multi-industry platform. AINNA provides the NeuralOps technology and technical execution layer that connects those advantages.</w:t>
      </w:r>
    </w:p>
    <w:tbl>
      <w:tblPr>
        <w:tblW w:type="dxa" w:w="9360"/>
        <w:jc w:val="left"/>
        <w:tblLayout w:type="fixed"/>
        <w:tblLook w:firstColumn="1" w:firstRow="1" w:lastColumn="0" w:lastRow="0" w:noHBand="0" w:noVBand="1" w:val="04A0"/>
        <w:tblInd w:w="120" w:type="dxa"/>
        <w:tblBorders>
          <w:top w:val="single" w:sz="8" w:space="0" w:color="D7DEE8"/>
          <w:left w:val="single" w:sz="8" w:space="0" w:color="D7DEE8"/>
          <w:bottom w:val="single" w:sz="8" w:space="0" w:color="D7DEE8"/>
          <w:right w:val="single" w:sz="8" w:space="0" w:color="D7DEE8"/>
          <w:insideH w:val="single" w:sz="8" w:space="0" w:color="D7DEE8"/>
          <w:insideV w:val="single" w:sz="8" w:space="0" w:color="D7DEE8"/>
        </w:tblBorders>
      </w:tblPr>
      <w:tblGrid>
        <w:gridCol w:w="9360"/>
      </w:tblGrid>
      <w:tr>
        <w:trPr>
          <w:cantSplit w:val="true"/>
        </w:trPr>
        <w:tc>
          <w:tcPr>
            <w:tcW w:type="dxa" w:w="9360"/>
            <w:tcMar>
              <w:top w:w="150" w:type="dxa"/>
              <w:start w:w="180" w:type="dxa"/>
              <w:bottom w:w="150" w:type="dxa"/>
              <w:end w:w="180" w:type="dxa"/>
            </w:tcMar>
            <w:vAlign w:val="center"/>
            <w:shd w:fill="FFF8E8"/>
          </w:tcPr>
          <w:p>
            <w:pPr>
              <w:spacing w:before="0" w:after="40" w:line="283" w:lineRule="auto"/>
            </w:pPr>
            <w:r>
              <w:rPr>
                <w:rFonts w:ascii="Calibri" w:hAnsi="Calibri"/>
                <w:b/>
                <w:color w:val="C69214"/>
                <w:sz w:val="19"/>
              </w:rPr>
              <w:t>CLOSING PROPOSITION  MIGHT provides strategic leverage; AINNA provides NeuralOps technology; TAFE JD provides Saudi market-entry and operating execution; PCG Edge provides investment and commercial structuring leverage; and Saudi partners provide infrastructure, sector access and scale. Together, the consortium can build, localise, finance, deploy and scale NeuralOps across multiple industries.</w:t>
            </w:r>
          </w:p>
        </w:tc>
      </w:tr>
    </w:tbl>
    <w:p>
      <w:pPr>
        <w:keepLines w:val="0"/>
        <w:spacing w:before="0" w:after="60" w:line="320" w:lineRule="auto"/>
      </w:pPr>
      <w:r>
        <w:rPr>
          <w:rFonts w:ascii="Calibri" w:hAnsi="Calibri"/>
          <w:b w:val="0"/>
          <w:i w:val="0"/>
          <w:color w:val="243447"/>
          <w:sz w:val="4"/>
        </w:rPr>
      </w:r>
    </w:p>
    <w:p>
      <w:r>
        <w:br w:type="page"/>
      </w:r>
    </w:p>
    <w:p>
      <w:pPr>
        <w:pStyle w:val="Heading1"/>
        <w:keepNext/>
      </w:pPr>
      <w:r>
        <w:t>Appendix A - AINNA Delivery Capabilities</w:t>
      </w:r>
    </w:p>
    <w:tbl>
      <w:tblPr>
        <w:tblW w:type="dxa" w:w="9360"/>
        <w:tblLayout w:type="fixed"/>
        <w:tblLook w:firstColumn="1" w:firstRow="1" w:lastColumn="0" w:lastRow="0" w:noHBand="0" w:noVBand="1" w:val="04A0"/>
        <w:jc w:val="left"/>
        <w:tblInd w:w="120" w:type="dxa"/>
        <w:tblBorders>
          <w:top w:val="single" w:sz="6" w:space="0" w:color="D7DEE8"/>
          <w:left w:val="single" w:sz="6" w:space="0" w:color="D7DEE8"/>
          <w:bottom w:val="single" w:sz="6" w:space="0" w:color="D7DEE8"/>
          <w:right w:val="single" w:sz="6" w:space="0" w:color="D7DEE8"/>
          <w:insideH w:val="single" w:sz="6" w:space="0" w:color="D7DEE8"/>
          <w:insideV w:val="single" w:sz="6" w:space="0" w:color="D7DEE8"/>
        </w:tblBorders>
      </w:tblPr>
      <w:tblGrid>
        <w:gridCol w:w="2740"/>
        <w:gridCol w:w="6620"/>
      </w:tblGrid>
      <w:tr>
        <w:trPr>
          <w:cantSplit w:val="true"/>
          <w:tblHeader w:val="true"/>
        </w:trPr>
        <w:tc>
          <w:tcPr>
            <w:tcW w:type="dxa" w:w="274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Capability</w:t>
            </w:r>
          </w:p>
        </w:tc>
        <w:tc>
          <w:tcPr>
            <w:tcW w:type="dxa" w:w="662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Application to the Proposed Programme</w:t>
            </w:r>
          </w:p>
        </w:tc>
      </w:tr>
      <w:tr>
        <w:trPr>
          <w:cantSplit w:val="true"/>
        </w:trPr>
        <w:tc>
          <w:tcPr>
            <w:tcW w:type="dxa" w:w="27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NeuralOps orchestration</w:t>
            </w:r>
          </w:p>
        </w:tc>
        <w:tc>
          <w:tcPr>
            <w:tcW w:type="dxa" w:w="662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Task classification, policy routing, model selection, validation and workload telemetry.</w:t>
            </w:r>
          </w:p>
        </w:tc>
      </w:tr>
      <w:tr>
        <w:trPr>
          <w:cantSplit w:val="true"/>
        </w:trPr>
        <w:tc>
          <w:tcPr>
            <w:tcW w:type="dxa" w:w="274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8"/>
              </w:rPr>
              <w:t>AI agents</w:t>
            </w:r>
          </w:p>
        </w:tc>
        <w:tc>
          <w:tcPr>
            <w:tcW w:type="dxa" w:w="662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User-facing and system-facing agents for operational workflows, analysis and service delivery.</w:t>
            </w:r>
          </w:p>
        </w:tc>
      </w:tr>
      <w:tr>
        <w:trPr>
          <w:cantSplit w:val="true"/>
        </w:trPr>
        <w:tc>
          <w:tcPr>
            <w:tcW w:type="dxa" w:w="27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Specialised parsers</w:t>
            </w:r>
          </w:p>
        </w:tc>
        <w:tc>
          <w:tcPr>
            <w:tcW w:type="dxa" w:w="662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Extraction, structuring, comparison and validation of business and industrial data.</w:t>
            </w:r>
          </w:p>
        </w:tc>
      </w:tr>
      <w:tr>
        <w:trPr>
          <w:cantSplit w:val="true"/>
        </w:trPr>
        <w:tc>
          <w:tcPr>
            <w:tcW w:type="dxa" w:w="274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8"/>
              </w:rPr>
              <w:t>Detached systems</w:t>
            </w:r>
          </w:p>
        </w:tc>
        <w:tc>
          <w:tcPr>
            <w:tcW w:type="dxa" w:w="662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Deterministic, repeatable processing that reduces unnecessary model calls.</w:t>
            </w:r>
          </w:p>
        </w:tc>
      </w:tr>
      <w:tr>
        <w:trPr>
          <w:cantSplit w:val="true"/>
        </w:trPr>
        <w:tc>
          <w:tcPr>
            <w:tcW w:type="dxa" w:w="27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Financial workflow engines</w:t>
            </w:r>
          </w:p>
        </w:tc>
        <w:tc>
          <w:tcPr>
            <w:tcW w:type="dxa" w:w="662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Document processing, reconciliation, classification, journals, reporting and reviewer workflows.</w:t>
            </w:r>
          </w:p>
        </w:tc>
      </w:tr>
      <w:tr>
        <w:trPr>
          <w:cantSplit w:val="true"/>
        </w:trPr>
        <w:tc>
          <w:tcPr>
            <w:tcW w:type="dxa" w:w="2740"/>
            <w:shd w:fill="F4F6F9"/>
            <w:tcMar>
              <w:top w:w="80" w:type="dxa"/>
              <w:start w:w="120" w:type="dxa"/>
              <w:bottom w:w="80" w:type="dxa"/>
              <w:end w:w="120" w:type="dxa"/>
            </w:tcMar>
            <w:vAlign w:val="center"/>
          </w:tcPr>
          <w:p>
            <w:pPr>
              <w:spacing w:before="0" w:after="0" w:line="259" w:lineRule="auto"/>
              <w:jc w:val="center"/>
            </w:pPr>
            <w:r/>
            <w:r>
              <w:rPr>
                <w:rFonts w:ascii="Calibri" w:hAnsi="Calibri"/>
                <w:b w:val="0"/>
                <w:color w:val="243447"/>
                <w:sz w:val="18"/>
              </w:rPr>
              <w:t>Private/local AI</w:t>
            </w:r>
          </w:p>
        </w:tc>
        <w:tc>
          <w:tcPr>
            <w:tcW w:type="dxa" w:w="662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Controlled deployment behind private networking with local or selected cloud models.</w:t>
            </w:r>
          </w:p>
        </w:tc>
      </w:tr>
      <w:tr>
        <w:trPr>
          <w:cantSplit w:val="true"/>
        </w:trPr>
        <w:tc>
          <w:tcPr>
            <w:tcW w:type="dxa" w:w="27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System integration</w:t>
            </w:r>
          </w:p>
        </w:tc>
        <w:tc>
          <w:tcPr>
            <w:tcW w:type="dxa" w:w="662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APIs, connectors, databases, dashboards, monitoring, retries and operational controls.</w:t>
            </w:r>
          </w:p>
        </w:tc>
      </w:tr>
      <w:tr>
        <w:trPr>
          <w:cantSplit w:val="true"/>
        </w:trPr>
        <w:tc>
          <w:tcPr>
            <w:tcW w:type="dxa" w:w="274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Computer vision and IoT</w:t>
            </w:r>
          </w:p>
        </w:tc>
        <w:tc>
          <w:tcPr>
            <w:tcW w:type="dxa" w:w="662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Orchestration of cameras, sensors, thermal inputs and automated monitoring workflows.</w:t>
            </w:r>
          </w:p>
        </w:tc>
      </w:tr>
      <w:tr>
        <w:trPr>
          <w:cantSplit w:val="true"/>
        </w:trPr>
        <w:tc>
          <w:tcPr>
            <w:tcW w:type="dxa" w:w="274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Commerce operations</w:t>
            </w:r>
          </w:p>
        </w:tc>
        <w:tc>
          <w:tcPr>
            <w:tcW w:type="dxa" w:w="662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Inventory, order, customer, fulfilment, content and marketplace workflow automation.</w:t>
            </w:r>
          </w:p>
        </w:tc>
      </w:tr>
    </w:tbl>
    <w:p>
      <w:pPr>
        <w:keepLines w:val="0"/>
        <w:spacing w:before="0" w:after="60" w:line="320" w:lineRule="auto"/>
      </w:pPr>
      <w:r>
        <w:rPr>
          <w:rFonts w:ascii="Calibri" w:hAnsi="Calibri"/>
          <w:b w:val="0"/>
          <w:i w:val="0"/>
          <w:color w:val="243447"/>
          <w:sz w:val="4"/>
        </w:rPr>
      </w:r>
    </w:p>
    <w:p>
      <w:pPr>
        <w:pStyle w:val="Heading2"/>
        <w:keepNext/>
      </w:pPr>
      <w:r>
        <w:t>Selected Leadership</w:t>
      </w:r>
    </w:p>
    <w:tbl>
      <w:tblPr>
        <w:tblW w:type="dxa" w:w="9360"/>
        <w:tblLayout w:type="fixed"/>
        <w:tblLook w:firstColumn="1" w:firstRow="1" w:lastColumn="0" w:lastRow="0" w:noHBand="0" w:noVBand="1" w:val="04A0"/>
        <w:jc w:val="left"/>
        <w:tblInd w:w="120" w:type="dxa"/>
        <w:tblBorders>
          <w:top w:val="single" w:sz="6" w:space="0" w:color="D7DEE8"/>
          <w:left w:val="single" w:sz="6" w:space="0" w:color="D7DEE8"/>
          <w:bottom w:val="single" w:sz="6" w:space="0" w:color="D7DEE8"/>
          <w:right w:val="single" w:sz="6" w:space="0" w:color="D7DEE8"/>
          <w:insideH w:val="single" w:sz="6" w:space="0" w:color="D7DEE8"/>
          <w:insideV w:val="single" w:sz="6" w:space="0" w:color="D7DEE8"/>
        </w:tblBorders>
      </w:tblPr>
      <w:tblGrid>
        <w:gridCol w:w="2350"/>
        <w:gridCol w:w="2780"/>
        <w:gridCol w:w="4230"/>
      </w:tblGrid>
      <w:tr>
        <w:trPr>
          <w:cantSplit w:val="true"/>
          <w:tblHeader w:val="true"/>
        </w:trPr>
        <w:tc>
          <w:tcPr>
            <w:tcW w:type="dxa" w:w="235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Role</w:t>
            </w:r>
          </w:p>
        </w:tc>
        <w:tc>
          <w:tcPr>
            <w:tcW w:type="dxa" w:w="278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Name</w:t>
            </w:r>
          </w:p>
        </w:tc>
        <w:tc>
          <w:tcPr>
            <w:tcW w:type="dxa" w:w="4230"/>
            <w:tcMar>
              <w:top w:w="80" w:type="dxa"/>
              <w:start w:w="120" w:type="dxa"/>
              <w:bottom w:w="80" w:type="dxa"/>
              <w:end w:w="120" w:type="dxa"/>
            </w:tcMar>
            <w:vAlign w:val="center"/>
            <w:shd w:fill="0B2545"/>
          </w:tcPr>
          <w:p>
            <w:pPr>
              <w:spacing w:before="0" w:after="0" w:line="259" w:lineRule="auto"/>
              <w:jc w:val="center"/>
            </w:pPr>
            <w:r/>
            <w:r>
              <w:rPr>
                <w:rFonts w:ascii="Calibri" w:hAnsi="Calibri"/>
                <w:b/>
                <w:color w:val="FFFFFF"/>
                <w:sz w:val="18"/>
              </w:rPr>
              <w:t>Relevant Focus</w:t>
            </w:r>
          </w:p>
        </w:tc>
      </w:tr>
      <w:tr>
        <w:trPr>
          <w:cantSplit w:val="true"/>
        </w:trPr>
        <w:tc>
          <w:tcPr>
            <w:tcW w:type="dxa" w:w="235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Chief Executive Officer</w:t>
            </w:r>
          </w:p>
        </w:tc>
        <w:tc>
          <w:tcPr>
            <w:tcW w:type="dxa" w:w="278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Nur Ain Syuhada binti Masli</w:t>
            </w:r>
          </w:p>
        </w:tc>
        <w:tc>
          <w:tcPr>
            <w:tcW w:type="dxa" w:w="4230"/>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Corporate leadership, business strategy and stakeholder engagement.</w:t>
            </w:r>
          </w:p>
        </w:tc>
      </w:tr>
      <w:tr>
        <w:trPr>
          <w:cantSplit w:val="true"/>
        </w:trPr>
        <w:tc>
          <w:tcPr>
            <w:tcW w:type="dxa" w:w="235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Technical Director</w:t>
            </w:r>
          </w:p>
        </w:tc>
        <w:tc>
          <w:tcPr>
            <w:tcW w:type="dxa" w:w="278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Masli Yahaya</w:t>
            </w:r>
          </w:p>
        </w:tc>
        <w:tc>
          <w:tcPr>
            <w:tcW w:type="dxa" w:w="4230"/>
            <w:shd w:fill="F4F6F9"/>
            <w:tcMar>
              <w:top w:w="80" w:type="dxa"/>
              <w:start w:w="120" w:type="dxa"/>
              <w:bottom w:w="80" w:type="dxa"/>
              <w:end w:w="120" w:type="dxa"/>
            </w:tcMar>
            <w:vAlign w:val="center"/>
          </w:tcPr>
          <w:p>
            <w:pPr>
              <w:spacing w:before="0" w:after="0" w:line="259" w:lineRule="auto"/>
              <w:jc w:val="left"/>
            </w:pPr>
            <w:r/>
            <w:r>
              <w:rPr>
                <w:rFonts w:ascii="Calibri" w:hAnsi="Calibri"/>
                <w:b w:val="0"/>
                <w:color w:val="243447"/>
                <w:sz w:val="18"/>
              </w:rPr>
              <w:t>AI architecture, systems development, engineering, automation and technical delivery.</w:t>
            </w:r>
          </w:p>
        </w:tc>
      </w:tr>
    </w:tbl>
    <w:p>
      <w:pPr>
        <w:keepLines w:val="0"/>
        <w:spacing w:before="0" w:after="60" w:line="320" w:lineRule="auto"/>
      </w:pPr>
      <w:r>
        <w:rPr>
          <w:rFonts w:ascii="Calibri" w:hAnsi="Calibri"/>
          <w:b w:val="0"/>
          <w:i w:val="0"/>
          <w:color w:val="243447"/>
          <w:sz w:val="4"/>
        </w:rPr>
      </w:r>
    </w:p>
    <w:p>
      <w:pPr>
        <w:keepLines w:val="0"/>
        <w:spacing w:before="0" w:after="160" w:line="320" w:lineRule="auto"/>
      </w:pPr>
      <w:r>
        <w:rPr>
          <w:rFonts w:ascii="Calibri" w:hAnsi="Calibri"/>
          <w:b w:val="0"/>
          <w:i/>
          <w:color w:val="65758B"/>
          <w:sz w:val="19"/>
        </w:rPr>
        <w:t>Additional delivery, commercial, finance, security, Arabic-language and sector experts will be appointed according to the final programme scope.</w:t>
      </w:r>
    </w:p>
    <w:p>
      <w:r>
        <w:br w:type="page"/>
      </w:r>
    </w:p>
    <w:p>
      <w:pPr>
        <w:pStyle w:val="Heading1"/>
        <w:keepNext/>
      </w:pPr>
      <w:r>
        <w:t>Appendix B - Reference Sources and Notes</w:t>
      </w:r>
    </w:p>
    <w:p>
      <w:pPr>
        <w:keepLines w:val="0"/>
        <w:spacing w:before="0" w:after="160" w:line="320" w:lineRule="auto"/>
      </w:pPr>
      <w:r>
        <w:rPr>
          <w:rFonts w:ascii="Calibri" w:hAnsi="Calibri"/>
          <w:b w:val="0"/>
          <w:i w:val="0"/>
          <w:color w:val="65758B"/>
          <w:sz w:val="19"/>
        </w:rPr>
        <w:t>The following public sources were reviewed to support the strategic context in this proposal. Accessed 3 September 2026.</w:t>
      </w:r>
    </w:p>
    <w:p>
      <w:pPr>
        <w:spacing w:before="0" w:after="100" w:line="269" w:lineRule="auto"/>
      </w:pPr>
      <w:r>
        <w:rPr>
          <w:rFonts w:ascii="Calibri" w:hAnsi="Calibri"/>
          <w:b/>
          <w:color w:val="243447"/>
          <w:sz w:val="19"/>
        </w:rPr>
        <w:t xml:space="preserve">[1] MIGHT - Overview. </w:t>
      </w:r>
      <w:r>
        <w:rPr>
          <w:rFonts w:ascii="Calibri" w:hAnsi="Calibri"/>
          <w:color w:val="243447"/>
          <w:sz w:val="19"/>
        </w:rPr>
        <w:t xml:space="preserve">Official description of MIGHT's partnership, strategic advisory, foresight and technology opportunity roles. </w:t>
      </w:r>
      <w:hyperlink r:id="rId14">
        <w:r>
          <w:rPr>
            <w:color w:val="1F4D78"/>
            <w:u w:val="single"/>
            <w:rFonts w:ascii="Calibri" w:hAnsi="Calibri"/>
            <w:sz w:val="19"/>
          </w:rPr>
          <w:t>https://might.org.my/overview/</w:t>
        </w:r>
      </w:hyperlink>
    </w:p>
    <w:p>
      <w:pPr>
        <w:spacing w:before="0" w:after="100" w:line="269" w:lineRule="auto"/>
      </w:pPr>
      <w:r>
        <w:rPr>
          <w:rFonts w:ascii="Calibri" w:hAnsi="Calibri"/>
          <w:b/>
          <w:color w:val="243447"/>
          <w:sz w:val="19"/>
        </w:rPr>
        <w:t xml:space="preserve">[2] Saudi Vision 2030 - Overview. </w:t>
      </w:r>
      <w:r>
        <w:rPr>
          <w:rFonts w:ascii="Calibri" w:hAnsi="Calibri"/>
          <w:color w:val="243447"/>
          <w:sz w:val="19"/>
        </w:rPr>
        <w:t xml:space="preserve">Official national transformation context and economic diversification direction. </w:t>
      </w:r>
      <w:hyperlink r:id="rId15">
        <w:r>
          <w:rPr>
            <w:color w:val="1F4D78"/>
            <w:u w:val="single"/>
            <w:rFonts w:ascii="Calibri" w:hAnsi="Calibri"/>
            <w:sz w:val="19"/>
          </w:rPr>
          <w:t>https://www.vision2030.gov.sa/en/overview</w:t>
        </w:r>
      </w:hyperlink>
    </w:p>
    <w:p>
      <w:pPr>
        <w:spacing w:before="0" w:after="100" w:line="269" w:lineRule="auto"/>
      </w:pPr>
      <w:r>
        <w:rPr>
          <w:rFonts w:ascii="Calibri" w:hAnsi="Calibri"/>
          <w:b/>
          <w:color w:val="243447"/>
          <w:sz w:val="19"/>
        </w:rPr>
        <w:t xml:space="preserve">[3] Public Investment Fund - HUMAIN. </w:t>
      </w:r>
      <w:r>
        <w:rPr>
          <w:rFonts w:ascii="Calibri" w:hAnsi="Calibri"/>
          <w:color w:val="243447"/>
          <w:sz w:val="19"/>
        </w:rPr>
        <w:t xml:space="preserve">Official description of HUMAIN's full-stack AI activities across data centres, cloud, models and applications. </w:t>
      </w:r>
      <w:hyperlink r:id="rId16">
        <w:r>
          <w:rPr>
            <w:color w:val="1F4D78"/>
            <w:u w:val="single"/>
            <w:rFonts w:ascii="Calibri" w:hAnsi="Calibri"/>
            <w:sz w:val="19"/>
          </w:rPr>
          <w:t>https://www.pif.gov.sa/en/our-investments/our-portfolio/humain/</w:t>
        </w:r>
      </w:hyperlink>
    </w:p>
    <w:p>
      <w:pPr>
        <w:spacing w:before="0" w:after="100" w:line="269" w:lineRule="auto"/>
      </w:pPr>
      <w:r>
        <w:rPr>
          <w:rFonts w:ascii="Calibri" w:hAnsi="Calibri"/>
          <w:b/>
          <w:color w:val="243447"/>
          <w:sz w:val="19"/>
        </w:rPr>
        <w:t xml:space="preserve">[4] PIF and Google Cloud to create advanced AI hub in Saudi Arabia. </w:t>
      </w:r>
      <w:r>
        <w:rPr>
          <w:rFonts w:ascii="Calibri" w:hAnsi="Calibri"/>
          <w:color w:val="243447"/>
          <w:sz w:val="19"/>
        </w:rPr>
        <w:t xml:space="preserve">Official announcement covering AI infrastructure, Arabic-language development and Saudi-specific applications. </w:t>
      </w:r>
      <w:hyperlink r:id="rId17">
        <w:r>
          <w:rPr>
            <w:color w:val="1F4D78"/>
            <w:u w:val="single"/>
            <w:rFonts w:ascii="Calibri" w:hAnsi="Calibri"/>
            <w:sz w:val="19"/>
          </w:rPr>
          <w:t>https://www.pif.gov.sa/en/news-and-insights/press-releases/2024/pif-and-google-cloud-to-create-advanced-ai-hub-in-saudi-arabia/</w:t>
        </w:r>
      </w:hyperlink>
    </w:p>
    <w:p>
      <w:pPr>
        <w:spacing w:before="0" w:after="100" w:line="269" w:lineRule="auto"/>
      </w:pPr>
      <w:r>
        <w:rPr>
          <w:rFonts w:ascii="Calibri" w:hAnsi="Calibri"/>
          <w:b/>
          <w:color w:val="243447"/>
          <w:sz w:val="19"/>
        </w:rPr>
        <w:t xml:space="preserve">[5] Saudi MCIT - LEAP 2026 data-centre and advanced-technology announcements. </w:t>
      </w:r>
      <w:r>
        <w:rPr>
          <w:rFonts w:ascii="Calibri" w:hAnsi="Calibri"/>
          <w:color w:val="243447"/>
          <w:sz w:val="19"/>
        </w:rPr>
        <w:t xml:space="preserve">Official MCIT report dated 1 September 2026 on investments and launches across data centres, cloud, localisation and R&amp;D. </w:t>
      </w:r>
      <w:hyperlink r:id="rId18">
        <w:r>
          <w:rPr>
            <w:color w:val="1F4D78"/>
            <w:u w:val="single"/>
            <w:rFonts w:ascii="Calibri" w:hAnsi="Calibri"/>
            <w:sz w:val="19"/>
          </w:rPr>
          <w:t>https://mcit.gov.sa/en</w:t>
        </w:r>
      </w:hyperlink>
    </w:p>
    <w:p>
      <w:pPr>
        <w:spacing w:before="0" w:after="100" w:line="269" w:lineRule="auto"/>
      </w:pPr>
      <w:r>
        <w:rPr>
          <w:rFonts w:ascii="Calibri" w:hAnsi="Calibri"/>
          <w:b/>
          <w:color w:val="243447"/>
          <w:sz w:val="19"/>
        </w:rPr>
        <w:t xml:space="preserve">[6] Saudi MCIT - AWS Saudi Region and HUMAIN AI Zone announcement. </w:t>
      </w:r>
      <w:r>
        <w:rPr>
          <w:rFonts w:ascii="Calibri" w:hAnsi="Calibri"/>
          <w:color w:val="243447"/>
          <w:sz w:val="19"/>
        </w:rPr>
        <w:t xml:space="preserve">Official MCIT report dated 1 September 2026 on planned Saudi cloud and AI infrastructure expansion. </w:t>
      </w:r>
      <w:hyperlink r:id="rId18">
        <w:r>
          <w:rPr>
            <w:color w:val="1F4D78"/>
            <w:u w:val="single"/>
            <w:rFonts w:ascii="Calibri" w:hAnsi="Calibri"/>
            <w:sz w:val="19"/>
          </w:rPr>
          <w:t>https://mcit.gov.sa/en</w:t>
        </w:r>
      </w:hyperlink>
    </w:p>
    <w:p>
      <w:pPr>
        <w:spacing w:before="0" w:after="100" w:line="269" w:lineRule="auto"/>
      </w:pPr>
      <w:r>
        <w:rPr>
          <w:rFonts w:ascii="Calibri" w:hAnsi="Calibri"/>
          <w:b/>
          <w:color w:val="243447"/>
          <w:sz w:val="19"/>
        </w:rPr>
        <w:t xml:space="preserve">[7] Saudi Data &amp; AI Authority (SDAIA). </w:t>
      </w:r>
      <w:r>
        <w:rPr>
          <w:rFonts w:ascii="Calibri" w:hAnsi="Calibri"/>
          <w:color w:val="243447"/>
          <w:sz w:val="19"/>
        </w:rPr>
        <w:t xml:space="preserve">Official authority context for Saudi data and AI initiatives. </w:t>
      </w:r>
      <w:hyperlink r:id="rId19">
        <w:r>
          <w:rPr>
            <w:color w:val="1F4D78"/>
            <w:u w:val="single"/>
            <w:rFonts w:ascii="Calibri" w:hAnsi="Calibri"/>
            <w:sz w:val="19"/>
          </w:rPr>
          <w:t>https://sdaia.gov.sa/en/default.aspx</w:t>
        </w:r>
      </w:hyperlink>
    </w:p>
    <w:p>
      <w:pPr>
        <w:spacing w:before="0" w:after="100" w:line="269" w:lineRule="auto"/>
      </w:pPr>
      <w:pPr/>
      <w:r>
        <w:rPr>
          <w:rFonts w:ascii="Calibri" w:hAnsi="Calibri"/>
          <w:b/>
          <w:sz w:val="19"/>
        </w:rPr>
        <w:t>[8] TAFE JD - Official website. Public description of Saudi business establishment, foreign investment and market entry, government relations, compliance, PMO, technology transfer, industrial localisation, business matching and market expansion services. https://tafejd.com/</w:t>
      </w:r>
    </w:p>
    <w:p>
      <w:pPr>
        <w:spacing w:before="0" w:after="100" w:line="269" w:lineRule="auto"/>
      </w:pPr>
      <w:pPr/>
      <w:r>
        <w:rPr>
          <w:rFonts w:ascii="Calibri" w:hAnsi="Calibri"/>
          <w:b/>
          <w:sz w:val="19"/>
        </w:rPr>
        <w:t>[9] The PCG Edge - Patience Capital Group. Public description of deal sourcing, deal analysis, deal approval, capital drawdown and private-equity / venture investment approach. https://patiencecapital.group/edge/</w:t>
      </w:r>
    </w:p>
    <w:p>
      <w:pPr>
        <w:pStyle w:val="Heading2"/>
        <w:keepNext/>
      </w:pPr>
      <w:r>
        <w:t>Important Notes</w:t>
      </w:r>
    </w:p>
    <w:p>
      <w:pPr>
        <w:keepLines/>
        <w:spacing w:before="0" w:after="80" w:line="290" w:lineRule="auto"/>
        <w:numPr>
          <w:ilvl w:val="0"/>
          <w:numId w:val="10"/>
        </w:numPr>
      </w:pPr>
      <w:r>
        <w:rPr>
          <w:rFonts w:ascii="Calibri" w:hAnsi="Calibri"/>
          <w:color w:val="243447"/>
          <w:sz w:val="22"/>
        </w:rPr>
        <w:t>This document is a strategic discussion proposal and does not constitute a binding offer, contract, investment solicitation or commitment by MIGHT, TAFE JD, PCG Edge or any Saudi organisation unless separately executed by authorised parties.</w:t>
      </w:r>
    </w:p>
    <w:p>
      <w:pPr>
        <w:keepLines/>
        <w:spacing w:before="0" w:after="80" w:line="290" w:lineRule="auto"/>
        <w:numPr>
          <w:ilvl w:val="0"/>
          <w:numId w:val="10"/>
        </w:numPr>
      </w:pPr>
      <w:r>
        <w:rPr>
          <w:rFonts w:ascii="Calibri" w:hAnsi="Calibri"/>
          <w:color w:val="243447"/>
          <w:sz w:val="22"/>
        </w:rPr>
        <w:t>Public announcements and future infrastructure timelines are subject to the relevant organisations, regulatory approvals and delivery conditions.</w:t>
      </w:r>
    </w:p>
    <w:p>
      <w:pPr>
        <w:keepLines/>
        <w:spacing w:before="0" w:after="80" w:line="290" w:lineRule="auto"/>
        <w:numPr>
          <w:ilvl w:val="0"/>
          <w:numId w:val="10"/>
        </w:numPr>
      </w:pPr>
      <w:r>
        <w:rPr>
          <w:rFonts w:ascii="Calibri" w:hAnsi="Calibri"/>
          <w:color w:val="243447"/>
          <w:sz w:val="22"/>
        </w:rPr>
        <w:t>NeuralOps performance and sustainability benefits must be evaluated against agreed workloads and baselines. No blanket guarantee of hallucination elimination, token savings, cost reduction or energy reduction is made in this proposal.</w:t>
      </w:r>
    </w:p>
    <w:p>
      <w:pPr>
        <w:keepLines/>
        <w:spacing w:before="0" w:after="80" w:line="290" w:lineRule="auto"/>
        <w:numPr>
          <w:ilvl w:val="0"/>
          <w:numId w:val="10"/>
        </w:numPr>
      </w:pPr>
      <w:r>
        <w:rPr>
          <w:rFonts w:ascii="Calibri" w:hAnsi="Calibri"/>
          <w:color w:val="243447"/>
          <w:sz w:val="22"/>
        </w:rPr>
        <w:t>References to possible Saudi stakeholders are illustrative and do not imply current affiliation, endorsement or participation. TAFE JD and PCG Edge are identified here as the key consortium partners based on the project comment provided; their final legal entity names, authority, scope and commercial mandate must be confirmed in the consortium MoU. Public-source research for PCG Edge in this draft uses “The PCG Edge” of Patience Capital Group as the closest exact public match and should be verified before signature.</w:t>
      </w:r>
    </w:p>
    <w:sectPr w:rsidR="00FC693F" w:rsidRPr="0006063C" w:rsidSect="00034616">
      <w:headerReference w:type="default" r:id="rId9"/>
      <w:headerReference w:type="even" r:id="rId10"/>
      <w:footerReference w:type="default"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
      <w:rPr>
        <w:rFonts w:ascii="Calibri" w:hAnsi="Calibri"/>
        <w:color w:val="65758B"/>
        <w:sz w:val="17"/>
      </w:rPr>
      <w:t xml:space="preserve">AINNA  |  September 2026  |  Page </w:t>
    </w:r>
    <w:r>
      <w:rPr>
        <w:rFonts w:ascii="Calibri" w:hAnsi="Calibri"/>
        <w:color w:val="65758B"/>
        <w:sz w:val="18"/>
      </w:rPr>
      <w:fldChar w:fldCharType="begin"/>
      <w:instrText xml:space="preserve">PAGE</w:instrText>
      <w:fldChar w:fldCharType="separate"/>
      <w:t>1</w:t>
      <w:fldChar w:fldCharType="end"/>
    </w:r>
    <w:r>
      <w:rPr>
        <w:rFonts w:ascii="Calibri" w:hAnsi="Calibri"/>
        <w:color w:val="65758B"/>
        <w:sz w:val="17"/>
      </w:rPr>
      <w:t xml:space="preserve"> of </w:t>
    </w:r>
    <w:r>
      <w:rPr>
        <w:rFonts w:ascii="Calibri" w:hAnsi="Calibri"/>
        <w:color w:val="65758B"/>
        <w:sz w:val="18"/>
      </w:rPr>
      <w:fldChar w:fldCharType="begin"/>
      <w:instrText xml:space="preserve">NUMPAGES</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
      <w:rPr>
        <w:rFonts w:ascii="Calibri" w:hAnsi="Calibri"/>
        <w:color w:val="65758B"/>
        <w:sz w:val="17"/>
      </w:rPr>
      <w:t xml:space="preserve">AINNA  |  September 2026  |  Page </w:t>
    </w:r>
    <w:r>
      <w:rPr>
        <w:rFonts w:ascii="Calibri" w:hAnsi="Calibri"/>
        <w:color w:val="65758B"/>
        <w:sz w:val="18"/>
      </w:rPr>
      <w:fldChar w:fldCharType="begin"/>
      <w:instrText xml:space="preserve">PAGE</w:instrText>
      <w:fldChar w:fldCharType="separate"/>
      <w:t>1</w:t>
      <w:fldChar w:fldCharType="end"/>
    </w:r>
    <w:r>
      <w:rPr>
        <w:rFonts w:ascii="Calibri" w:hAnsi="Calibri"/>
        <w:color w:val="65758B"/>
        <w:sz w:val="17"/>
      </w:rPr>
      <w:t xml:space="preserve"> of </w:t>
    </w:r>
    <w:r>
      <w:rPr>
        <w:rFonts w:ascii="Calibri" w:hAnsi="Calibri"/>
        <w:color w:val="65758B"/>
        <w:sz w:val="18"/>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65758B"/>
        <w:sz w:val="17"/>
      </w:rPr>
      <w:t>AINNA | NEURALOPS DEVELOPMENT &amp; SCALING PROPOSAL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65758B"/>
        <w:sz w:val="17"/>
      </w:rPr>
      <w:t>AINNA | NEURALOPS DEVELOPMENT &amp; SCALING PROPOSAL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9"/>
        <w:spacing w:after="80" w:line="290" w:lineRule="auto"/>
      </w:pPr>
      <w:rPr>
        <w:rFonts w:ascii="Symbol" w:hAnsi="Symbol"/>
      </w:rPr>
    </w:lvl>
  </w:abstractNum>
  <w:num w:numId="10">
    <w:abstractNumId w:val="9"/>
  </w:num>
  <w:abstractNum w:abstractNumId="10">
    <w:multiLevelType w:val="singleLevel"/>
    <w:lvl w:ilvl="0">
      <w:start w:val="1"/>
      <w:numFmt w:val="decimal"/>
      <w:lvlText w:val="%1."/>
      <w:suff w:val="tab"/>
      <w:pPr>
        <w:tabs>
          <w:tab w:val="num" w:pos="540"/>
        </w:tabs>
        <w:ind w:left="540" w:hanging="279"/>
        <w:spacing w:after="80" w:line="290" w:lineRule="auto"/>
      </w:pPr>
    </w:lvl>
  </w:abstractNum>
  <w:num w:numId="11">
    <w:abstractNumId w:val="10"/>
  </w:num>
  <w:abstractNum w:abstractNumId="11">
    <w:multiLevelType w:val="singleLevel"/>
    <w:lvl w:ilvl="0">
      <w:start w:val="1"/>
      <w:numFmt w:val="bullet"/>
      <w:lvlText w:val="•"/>
      <w:suff w:val="tab"/>
      <w:pPr>
        <w:tabs>
          <w:tab w:val="num" w:pos="540"/>
        </w:tabs>
        <w:ind w:left="540" w:hanging="279"/>
        <w:spacing w:after="80" w:line="290" w:lineRule="auto"/>
      </w:pPr>
      <w:rPr>
        <w:rFonts w:ascii="Symbol" w:hAnsi="Symbol"/>
      </w:rPr>
    </w:lvl>
  </w:abstractNum>
  <w:num w:numId="12">
    <w:abstractNumId w:val="11"/>
  </w:num>
  <w:abstractNum w:abstractNumId="12">
    <w:multiLevelType w:val="singleLevel"/>
    <w:lvl w:ilvl="0">
      <w:start w:val="1"/>
      <w:numFmt w:val="decimal"/>
      <w:lvlText w:val="%1."/>
      <w:suff w:val="tab"/>
      <w:pPr>
        <w:tabs>
          <w:tab w:val="num" w:pos="540"/>
        </w:tabs>
        <w:ind w:left="540" w:hanging="279"/>
        <w:spacing w:after="80" w:line="290" w:lineRule="auto"/>
      </w:pPr>
    </w:lvl>
  </w:abstractNum>
  <w:num w:numId="13">
    <w:abstractNumId w:val="12"/>
  </w:num>
  <w:abstractNum w:abstractNumId="13">
    <w:multiLevelType w:val="singleLevel"/>
    <w:lvl w:ilvl="0">
      <w:start w:val="1"/>
      <w:numFmt w:val="bullet"/>
      <w:lvlText w:val="•"/>
      <w:suff w:val="tab"/>
      <w:pPr>
        <w:tabs>
          <w:tab w:val="num" w:pos="540"/>
        </w:tabs>
        <w:ind w:left="540" w:hanging="279"/>
        <w:spacing w:after="80" w:line="290" w:lineRule="auto"/>
      </w:pPr>
      <w:rPr>
        <w:rFonts w:ascii="Symbol" w:hAnsi="Symbol"/>
      </w:rPr>
    </w:lvl>
  </w:abstractNum>
  <w:num w:numId="14">
    <w:abstractNumId w:val="13"/>
  </w:num>
  <w:abstractNum w:abstractNumId="14">
    <w:multiLevelType w:val="singleLevel"/>
    <w:lvl w:ilvl="0">
      <w:start w:val="1"/>
      <w:numFmt w:val="decimal"/>
      <w:lvlText w:val="%1."/>
      <w:suff w:val="tab"/>
      <w:pPr>
        <w:tabs>
          <w:tab w:val="num" w:pos="540"/>
        </w:tabs>
        <w:ind w:left="540" w:hanging="279"/>
        <w:spacing w:after="80" w:line="290" w:lineRule="auto"/>
      </w:pPr>
    </w:lvl>
  </w:abstract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24344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0B254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color w:val="0B254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hyperlink" Target="https://might.org.my/overview/" TargetMode="External"/><Relationship Id="rId15" Type="http://schemas.openxmlformats.org/officeDocument/2006/relationships/hyperlink" Target="https://www.vision2030.gov.sa/en/overview" TargetMode="External"/><Relationship Id="rId16" Type="http://schemas.openxmlformats.org/officeDocument/2006/relationships/hyperlink" Target="https://www.pif.gov.sa/en/our-investments/our-portfolio/humain/" TargetMode="External"/><Relationship Id="rId17" Type="http://schemas.openxmlformats.org/officeDocument/2006/relationships/hyperlink" Target="https://www.pif.gov.sa/en/news-and-insights/press-releases/2024/pif-and-google-cloud-to-create-advanced-ai-hub-in-saudi-arabia/" TargetMode="External"/><Relationship Id="rId18" Type="http://schemas.openxmlformats.org/officeDocument/2006/relationships/hyperlink" Target="https://mcit.gov.sa/en" TargetMode="External"/><Relationship Id="rId19" Type="http://schemas.openxmlformats.org/officeDocument/2006/relationships/hyperlink" Target="https://sdaia.gov.sa/en/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AINNA × MIGHT × KSA - Strategic NeuralOps Development &amp; Scaling Proposal</dc:title>
  <dc:subject>Proposal to develop, localise, deploy and scale AINNA NeuralOps in Saudi Arabia</dc:subject>
  <dc:creator>AINNA</dc:creator>
  <cp:keywords>AINNA, MIGHT, Saudi Arabia, KSA, NeuralOps, AI infrastructure, AI optimisation</cp:keywords>
  <dc:description>Prepared as a strategic discussion proposal, September 2026.</dc:description>
  <cp:lastModifiedBy/>
  <cp:revision>1</cp:revision>
  <dcterms:created xsi:type="dcterms:W3CDTF">2013-12-23T23:15:00Z</dcterms:created>
  <dcterms:modified xsi:type="dcterms:W3CDTF">2013-12-23T23:15:00Z</dcterms:modified>
  <cp:category/>
</cp:coreProperties>
</file>