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264" w:lineRule="auto"/>
      </w:pPr>
      <w:r>
        <w:rPr>
          <w:rFonts w:ascii="Arial" w:hAnsi="Arial"/>
          <w:b/>
          <w:color w:val="111111"/>
          <w:sz w:val="68"/>
        </w:rPr>
        <w:t>AINNA</w:t>
      </w:r>
    </w:p>
    <w:p>
      <w:pPr>
        <w:spacing w:before="0" w:after="400" w:line="264" w:lineRule="auto"/>
      </w:pPr>
      <w:r>
        <w:rPr>
          <w:rFonts w:ascii="Arial" w:hAnsi="Arial"/>
          <w:b/>
          <w:color w:val="FF5A1F"/>
          <w:sz w:val="24"/>
        </w:rPr>
        <w:t>SME AI CAPABILITY PROGRAMME</w:t>
      </w:r>
    </w:p>
    <w:p>
      <w:pPr>
        <w:spacing w:before="0" w:after="80" w:line="264" w:lineRule="auto"/>
      </w:pPr>
      <w:r>
        <w:rPr>
          <w:rFonts w:ascii="Arial" w:hAnsi="Arial"/>
          <w:b/>
          <w:color w:val="FF5A1F"/>
          <w:sz w:val="18"/>
        </w:rPr>
        <w:t>EXECUTIVE PROPOSAL</w:t>
      </w:r>
    </w:p>
    <w:p>
      <w:pPr>
        <w:spacing w:before="0" w:after="120" w:line="240" w:lineRule="auto"/>
      </w:pPr>
      <w:r>
        <w:rPr>
          <w:rFonts w:ascii="Arial" w:hAnsi="Arial"/>
          <w:b/>
          <w:color w:val="111111"/>
          <w:sz w:val="50"/>
        </w:rPr>
        <w:t>Build the Capability Behind the Website</w:t>
      </w:r>
    </w:p>
    <w:p>
      <w:pPr>
        <w:spacing w:before="0" w:after="280" w:line="240" w:lineRule="auto"/>
      </w:pPr>
      <w:r>
        <w:rPr>
          <w:rFonts w:ascii="Arial" w:hAnsi="Arial"/>
          <w:b/>
          <w:color w:val="FF5A1F"/>
          <w:sz w:val="32"/>
        </w:rPr>
        <w:t>Not Just a Website. Build the Capability Behind It.</w:t>
      </w:r>
    </w:p>
    <w:p>
      <w:pPr>
        <w:spacing w:before="0" w:after="360" w:line="288" w:lineRule="auto"/>
      </w:pPr>
      <w:r>
        <w:rPr>
          <w:rFonts w:ascii="Arial" w:hAnsi="Arial"/>
          <w:b w:val="0"/>
          <w:color w:val="111111"/>
          <w:sz w:val="24"/>
        </w:rPr>
        <w:t>A website gives your business a digital presence. The SME AI Capability Programme gives your team the capability, infrastructure and AI tools to keep building what the business needs next.</w:t>
      </w:r>
    </w:p>
    <w:tbl>
      <w:tblPr>
        <w:tblW w:type="auto" w:w="0"/>
        <w:jc w:val="center"/>
        <w:tblLook w:firstColumn="1" w:firstRow="1" w:lastColumn="0" w:lastRow="0" w:noHBand="0" w:noVBand="1" w:val="04A0"/>
      </w:tblPr>
      <w:tblGrid>
        <w:gridCol w:w="5083"/>
        <w:gridCol w:w="5083"/>
      </w:tblGrid>
      <w:tr>
        <w:tc>
          <w:tcPr>
            <w:tcW w:type="dxa" w:w="2448"/>
            <w:shd w:fill="FFFFFF"/>
            <w:tcBorders>
              <w:bottom w:val="single" w:sz="4" w:color="D9D9D9"/>
            </w:tcBorders>
          </w:tcPr>
          <w:p>
            <w:pPr>
              <w:spacing w:before="60" w:after="60" w:line="240" w:lineRule="auto"/>
            </w:pPr>
            <w:r>
              <w:rPr>
                <w:rFonts w:ascii="Arial" w:hAnsi="Arial"/>
                <w:b/>
                <w:color w:val="666666"/>
                <w:sz w:val="18"/>
              </w:rPr>
              <w:t>Prepared for</w:t>
            </w:r>
          </w:p>
        </w:tc>
        <w:tc>
          <w:tcPr>
            <w:tcW w:type="dxa" w:w="7056"/>
            <w:shd w:fill="FFFFFF"/>
            <w:tcBorders>
              <w:bottom w:val="single" w:sz="4" w:color="D9D9D9"/>
            </w:tcBorders>
          </w:tcPr>
          <w:p>
            <w:pPr>
              <w:spacing w:before="60" w:after="60" w:line="240" w:lineRule="auto"/>
            </w:pPr>
            <w:r>
              <w:rPr>
                <w:rFonts w:ascii="Arial" w:hAnsi="Arial"/>
                <w:b w:val="0"/>
                <w:color w:val="111111"/>
                <w:sz w:val="18"/>
              </w:rPr>
              <w:t>CEO / COO / Founder</w:t>
            </w:r>
          </w:p>
        </w:tc>
      </w:tr>
      <w:tr>
        <w:tc>
          <w:tcPr>
            <w:tcW w:type="dxa" w:w="2448"/>
            <w:shd w:fill="FAFAFA"/>
            <w:tcBorders>
              <w:bottom w:val="single" w:sz="4" w:color="D9D9D9"/>
            </w:tcBorders>
          </w:tcPr>
          <w:p>
            <w:pPr>
              <w:spacing w:before="60" w:after="60" w:line="240" w:lineRule="auto"/>
            </w:pPr>
            <w:r>
              <w:rPr>
                <w:rFonts w:ascii="Arial" w:hAnsi="Arial"/>
                <w:b/>
                <w:color w:val="666666"/>
                <w:sz w:val="18"/>
              </w:rPr>
              <w:t>Programme</w:t>
            </w:r>
          </w:p>
        </w:tc>
        <w:tc>
          <w:tcPr>
            <w:tcW w:type="dxa" w:w="7056"/>
            <w:shd w:fill="FAFAFA"/>
            <w:tcBorders>
              <w:bottom w:val="single" w:sz="4" w:color="D9D9D9"/>
            </w:tcBorders>
          </w:tcPr>
          <w:p>
            <w:pPr>
              <w:spacing w:before="60" w:after="60" w:line="240" w:lineRule="auto"/>
            </w:pPr>
            <w:r>
              <w:rPr>
                <w:rFonts w:ascii="Arial" w:hAnsi="Arial"/>
                <w:b w:val="0"/>
                <w:color w:val="111111"/>
                <w:sz w:val="18"/>
              </w:rPr>
              <w:t>AINNA SME AI Capability Programme</w:t>
            </w:r>
          </w:p>
        </w:tc>
      </w:tr>
      <w:tr>
        <w:tc>
          <w:tcPr>
            <w:tcW w:type="dxa" w:w="2448"/>
            <w:shd w:fill="FFFFFF"/>
            <w:tcBorders>
              <w:bottom w:val="single" w:sz="4" w:color="D9D9D9"/>
            </w:tcBorders>
          </w:tcPr>
          <w:p>
            <w:pPr>
              <w:spacing w:before="60" w:after="60" w:line="240" w:lineRule="auto"/>
            </w:pPr>
            <w:r>
              <w:rPr>
                <w:rFonts w:ascii="Arial" w:hAnsi="Arial"/>
                <w:b/>
                <w:color w:val="666666"/>
                <w:sz w:val="18"/>
              </w:rPr>
              <w:t>Format</w:t>
            </w:r>
          </w:p>
        </w:tc>
        <w:tc>
          <w:tcPr>
            <w:tcW w:type="dxa" w:w="7056"/>
            <w:shd w:fill="FFFFFF"/>
            <w:tcBorders>
              <w:bottom w:val="single" w:sz="4" w:color="D9D9D9"/>
            </w:tcBorders>
          </w:tcPr>
          <w:p>
            <w:pPr>
              <w:spacing w:before="60" w:after="60" w:line="240" w:lineRule="auto"/>
            </w:pPr>
            <w:r>
              <w:rPr>
                <w:rFonts w:ascii="Arial" w:hAnsi="Arial"/>
                <w:b w:val="0"/>
                <w:color w:val="111111"/>
                <w:sz w:val="18"/>
              </w:rPr>
              <w:t>3-Day Dedicated 1-to-1</w:t>
            </w:r>
          </w:p>
        </w:tc>
      </w:tr>
      <w:tr>
        <w:tc>
          <w:tcPr>
            <w:tcW w:type="dxa" w:w="2448"/>
            <w:shd w:fill="FAFAFA"/>
            <w:tcBorders>
              <w:bottom w:val="single" w:sz="4" w:color="D9D9D9"/>
            </w:tcBorders>
          </w:tcPr>
          <w:p>
            <w:pPr>
              <w:spacing w:before="60" w:after="60" w:line="240" w:lineRule="auto"/>
            </w:pPr>
            <w:r>
              <w:rPr>
                <w:rFonts w:ascii="Arial" w:hAnsi="Arial"/>
                <w:b/>
                <w:color w:val="666666"/>
                <w:sz w:val="18"/>
              </w:rPr>
              <w:t>Prepared by</w:t>
            </w:r>
          </w:p>
        </w:tc>
        <w:tc>
          <w:tcPr>
            <w:tcW w:type="dxa" w:w="7056"/>
            <w:shd w:fill="FAFAFA"/>
            <w:tcBorders>
              <w:bottom w:val="single" w:sz="4" w:color="D9D9D9"/>
            </w:tcBorders>
          </w:tcPr>
          <w:p>
            <w:pPr>
              <w:spacing w:before="60" w:after="60" w:line="240" w:lineRule="auto"/>
            </w:pPr>
            <w:r>
              <w:rPr>
                <w:rFonts w:ascii="Arial" w:hAnsi="Arial"/>
                <w:b w:val="0"/>
                <w:color w:val="111111"/>
                <w:sz w:val="18"/>
              </w:rPr>
              <w:t>AINNA</w:t>
            </w:r>
          </w:p>
        </w:tc>
      </w:tr>
    </w:tbl>
    <w:p>
      <w:pPr>
        <w:spacing w:before="0" w:after="120" w:line="264" w:lineRule="auto"/>
      </w:pPr>
      <w:r>
        <w:rPr>
          <w:rFonts w:ascii="Arial" w:hAnsi="Arial"/>
          <w:b w:val="0"/>
          <w:color w:val="111111"/>
          <w:sz w:val="21"/>
        </w:rPr>
      </w:r>
    </w:p>
    <w:tbl>
      <w:tblPr>
        <w:tblW w:type="auto" w:w="0"/>
        <w:jc w:val="center"/>
        <w:tblLook w:firstColumn="1" w:firstRow="1" w:lastColumn="0" w:lastRow="0" w:noHBand="0" w:noVBand="1" w:val="04A0"/>
      </w:tblPr>
      <w:tblGrid>
        <w:gridCol w:w="10166"/>
      </w:tblGrid>
      <w:tr>
        <w:tc>
          <w:tcPr>
            <w:tcW w:type="dxa" w:w="10166"/>
            <w:shd w:fill="FFF3ED"/>
          </w:tcPr>
          <w:p>
            <w:pPr>
              <w:spacing w:before="60" w:after="40" w:line="240" w:lineRule="auto"/>
            </w:pPr>
            <w:r>
              <w:rPr>
                <w:rFonts w:ascii="Arial" w:hAnsi="Arial"/>
                <w:b/>
                <w:color w:val="FF5A1F"/>
                <w:sz w:val="22"/>
              </w:rPr>
              <w:t>EXECUTIVE POSITIONING</w:t>
            </w:r>
          </w:p>
          <w:p>
            <w:pPr>
              <w:spacing w:before="0" w:after="80" w:line="259" w:lineRule="auto"/>
            </w:pPr>
            <w:r>
              <w:rPr>
                <w:rFonts w:ascii="Arial" w:hAnsi="Arial"/>
                <w:b w:val="0"/>
                <w:color w:val="111111"/>
                <w:sz w:val="20"/>
              </w:rPr>
              <w:t>This is not a conventional website-development proposal. It is a capability-building programme designed to give the company the people, AI Agent environment and infrastructure required to continue building digital systems internally.</w:t>
            </w:r>
          </w:p>
        </w:tc>
      </w:tr>
    </w:tbl>
    <w:p>
      <w:pPr>
        <w:spacing w:before="0" w:after="40" w:line="264" w:lineRule="auto"/>
      </w:pPr>
      <w:r>
        <w:rPr>
          <w:rFonts w:ascii="Arial" w:hAnsi="Arial"/>
          <w:b w:val="0"/>
          <w:color w:val="111111"/>
          <w:sz w:val="21"/>
        </w:rPr>
      </w:r>
    </w:p>
    <w:p>
      <w:r>
        <w:br w:type="page"/>
      </w:r>
    </w:p>
    <w:p>
      <w:pPr>
        <w:spacing w:before="0" w:after="40" w:line="264" w:lineRule="auto"/>
      </w:pPr>
      <w:r>
        <w:rPr>
          <w:rFonts w:ascii="Arial" w:hAnsi="Arial"/>
          <w:b/>
          <w:color w:val="FF5A1F"/>
          <w:sz w:val="17"/>
        </w:rPr>
        <w:t>01</w:t>
      </w:r>
    </w:p>
    <w:p>
      <w:pPr>
        <w:spacing w:before="0" w:after="160" w:line="240" w:lineRule="auto"/>
      </w:pPr>
      <w:r>
        <w:rPr>
          <w:rFonts w:ascii="Arial" w:hAnsi="Arial"/>
          <w:b/>
          <w:color w:val="111111"/>
          <w:sz w:val="36"/>
        </w:rPr>
        <w:t>Executive Summary</w:t>
      </w:r>
    </w:p>
    <w:p>
      <w:pPr>
        <w:spacing w:before="0" w:after="160" w:line="281" w:lineRule="auto"/>
      </w:pPr>
      <w:r>
        <w:rPr>
          <w:rFonts w:ascii="Arial" w:hAnsi="Arial"/>
          <w:b w:val="0"/>
          <w:color w:val="111111"/>
          <w:sz w:val="22"/>
        </w:rPr>
        <w:t>The strategic issue for SMEs is no longer simply whether the company has a website. The larger issue is whether the organisation can continuously build, modify and improve digital systems as operations, customers and business requirements change.</w:t>
      </w:r>
    </w:p>
    <w:p>
      <w:pPr>
        <w:spacing w:before="0" w:after="160" w:line="281" w:lineRule="auto"/>
      </w:pPr>
      <w:r>
        <w:rPr>
          <w:rFonts w:ascii="Arial" w:hAnsi="Arial"/>
          <w:b w:val="0"/>
          <w:color w:val="111111"/>
          <w:sz w:val="22"/>
        </w:rPr>
        <w:t>AINNA proposes a 3-day dedicated programme that equips selected staff with AINNA Agent, premium AI infrastructure, business consultation and hands-on system-building capability.</w:t>
      </w:r>
    </w:p>
    <w:p>
      <w:pPr>
        <w:spacing w:before="0" w:after="200" w:line="281" w:lineRule="auto"/>
      </w:pPr>
      <w:r>
        <w:rPr>
          <w:rFonts w:ascii="Arial" w:hAnsi="Arial"/>
          <w:b w:val="0"/>
          <w:color w:val="111111"/>
          <w:sz w:val="22"/>
        </w:rPr>
        <w:t>Immediate practical outputs may include a company website, e-commerce flow, product cart, light dashboards and simple internal tools. The strategic output is more important: the company gains an internal capability to keep building with AI.</w:t>
      </w:r>
    </w:p>
    <w:p>
      <w:pPr>
        <w:spacing w:before="0" w:after="160" w:line="240" w:lineRule="auto"/>
      </w:pPr>
      <w:r>
        <w:rPr>
          <w:rFonts w:ascii="Arial" w:hAnsi="Arial"/>
          <w:b/>
          <w:color w:val="111111"/>
          <w:sz w:val="26"/>
        </w:rPr>
        <w:t>Management Decision at a Glance</w:t>
      </w:r>
    </w:p>
    <w:tbl>
      <w:tblPr>
        <w:tblW w:type="auto" w:w="0"/>
        <w:jc w:val="center"/>
        <w:tblLook w:firstColumn="1" w:firstRow="1" w:lastColumn="0" w:lastRow="0" w:noHBand="0" w:noVBand="1" w:val="04A0"/>
      </w:tblPr>
      <w:tblGrid>
        <w:gridCol w:w="5083"/>
        <w:gridCol w:w="5083"/>
      </w:tblGrid>
      <w:tr>
        <w:tc>
          <w:tcPr>
            <w:tcW w:type="dxa" w:w="3456"/>
            <w:shd w:fill="FFFFFF"/>
            <w:tcBorders>
              <w:bottom w:val="single" w:sz="4" w:color="D9D9D9"/>
            </w:tcBorders>
          </w:tcPr>
          <w:p>
            <w:pPr>
              <w:spacing w:before="60" w:after="60" w:line="240" w:lineRule="auto"/>
            </w:pPr>
            <w:r>
              <w:rPr>
                <w:rFonts w:ascii="Arial" w:hAnsi="Arial"/>
                <w:b/>
                <w:color w:val="666666"/>
                <w:sz w:val="18"/>
              </w:rPr>
              <w:t>Programme investment</w:t>
            </w:r>
          </w:p>
        </w:tc>
        <w:tc>
          <w:tcPr>
            <w:tcW w:type="dxa" w:w="6192"/>
            <w:shd w:fill="FFFFFF"/>
            <w:tcBorders>
              <w:bottom w:val="single" w:sz="4" w:color="D9D9D9"/>
            </w:tcBorders>
          </w:tcPr>
          <w:p>
            <w:pPr>
              <w:spacing w:before="60" w:after="60" w:line="240" w:lineRule="auto"/>
            </w:pPr>
            <w:r>
              <w:rPr>
                <w:rFonts w:ascii="Arial" w:hAnsi="Arial"/>
                <w:b w:val="0"/>
                <w:color w:val="111111"/>
                <w:sz w:val="18"/>
              </w:rPr>
              <w:t>RM18,000</w:t>
            </w:r>
          </w:p>
        </w:tc>
      </w:tr>
      <w:tr>
        <w:tc>
          <w:tcPr>
            <w:tcW w:type="dxa" w:w="3456"/>
            <w:shd w:fill="FAFAFA"/>
            <w:tcBorders>
              <w:bottom w:val="single" w:sz="4" w:color="D9D9D9"/>
            </w:tcBorders>
          </w:tcPr>
          <w:p>
            <w:pPr>
              <w:spacing w:before="60" w:after="60" w:line="240" w:lineRule="auto"/>
            </w:pPr>
            <w:r>
              <w:rPr>
                <w:rFonts w:ascii="Arial" w:hAnsi="Arial"/>
                <w:b/>
                <w:color w:val="666666"/>
                <w:sz w:val="18"/>
              </w:rPr>
              <w:t>Delivery</w:t>
            </w:r>
          </w:p>
        </w:tc>
        <w:tc>
          <w:tcPr>
            <w:tcW w:type="dxa" w:w="6192"/>
            <w:shd w:fill="FAFAFA"/>
            <w:tcBorders>
              <w:bottom w:val="single" w:sz="4" w:color="D9D9D9"/>
            </w:tcBorders>
          </w:tcPr>
          <w:p>
            <w:pPr>
              <w:spacing w:before="60" w:after="60" w:line="240" w:lineRule="auto"/>
            </w:pPr>
            <w:r>
              <w:rPr>
                <w:rFonts w:ascii="Arial" w:hAnsi="Arial"/>
                <w:b w:val="0"/>
                <w:color w:val="111111"/>
                <w:sz w:val="18"/>
              </w:rPr>
              <w:t>3 days, dedicated 1-to-1</w:t>
            </w:r>
          </w:p>
        </w:tc>
      </w:tr>
      <w:tr>
        <w:tc>
          <w:tcPr>
            <w:tcW w:type="dxa" w:w="3456"/>
            <w:shd w:fill="FFFFFF"/>
            <w:tcBorders>
              <w:bottom w:val="single" w:sz="4" w:color="D9D9D9"/>
            </w:tcBorders>
          </w:tcPr>
          <w:p>
            <w:pPr>
              <w:spacing w:before="60" w:after="60" w:line="240" w:lineRule="auto"/>
            </w:pPr>
            <w:r>
              <w:rPr>
                <w:rFonts w:ascii="Arial" w:hAnsi="Arial"/>
                <w:b/>
                <w:color w:val="666666"/>
                <w:sz w:val="18"/>
              </w:rPr>
              <w:t>Recommended location</w:t>
            </w:r>
          </w:p>
        </w:tc>
        <w:tc>
          <w:tcPr>
            <w:tcW w:type="dxa" w:w="6192"/>
            <w:shd w:fill="FFFFFF"/>
            <w:tcBorders>
              <w:bottom w:val="single" w:sz="4" w:color="D9D9D9"/>
            </w:tcBorders>
          </w:tcPr>
          <w:p>
            <w:pPr>
              <w:spacing w:before="60" w:after="60" w:line="240" w:lineRule="auto"/>
            </w:pPr>
            <w:r>
              <w:rPr>
                <w:rFonts w:ascii="Arial" w:hAnsi="Arial"/>
                <w:b w:val="0"/>
                <w:color w:val="111111"/>
                <w:sz w:val="18"/>
              </w:rPr>
              <w:t>AINNA office for uninterrupted focus</w:t>
            </w:r>
          </w:p>
        </w:tc>
      </w:tr>
      <w:tr>
        <w:tc>
          <w:tcPr>
            <w:tcW w:type="dxa" w:w="3456"/>
            <w:shd w:fill="FAFAFA"/>
            <w:tcBorders>
              <w:bottom w:val="single" w:sz="4" w:color="D9D9D9"/>
            </w:tcBorders>
          </w:tcPr>
          <w:p>
            <w:pPr>
              <w:spacing w:before="60" w:after="60" w:line="240" w:lineRule="auto"/>
            </w:pPr>
            <w:r>
              <w:rPr>
                <w:rFonts w:ascii="Arial" w:hAnsi="Arial"/>
                <w:b/>
                <w:color w:val="666666"/>
                <w:sz w:val="18"/>
              </w:rPr>
              <w:t>First-year infrastructure</w:t>
            </w:r>
          </w:p>
        </w:tc>
        <w:tc>
          <w:tcPr>
            <w:tcW w:type="dxa" w:w="6192"/>
            <w:shd w:fill="FAFAFA"/>
            <w:tcBorders>
              <w:bottom w:val="single" w:sz="4" w:color="D9D9D9"/>
            </w:tcBorders>
          </w:tcPr>
          <w:p>
            <w:pPr>
              <w:spacing w:before="60" w:after="60" w:line="240" w:lineRule="auto"/>
            </w:pPr>
            <w:r>
              <w:rPr>
                <w:rFonts w:ascii="Arial" w:hAnsi="Arial"/>
                <w:b w:val="0"/>
                <w:color w:val="111111"/>
                <w:sz w:val="18"/>
              </w:rPr>
              <w:t>Included</w:t>
            </w:r>
          </w:p>
        </w:tc>
      </w:tr>
      <w:tr>
        <w:tc>
          <w:tcPr>
            <w:tcW w:type="dxa" w:w="3456"/>
            <w:shd w:fill="FFFFFF"/>
            <w:tcBorders>
              <w:bottom w:val="single" w:sz="4" w:color="D9D9D9"/>
            </w:tcBorders>
          </w:tcPr>
          <w:p>
            <w:pPr>
              <w:spacing w:before="60" w:after="60" w:line="240" w:lineRule="auto"/>
            </w:pPr>
            <w:r>
              <w:rPr>
                <w:rFonts w:ascii="Arial" w:hAnsi="Arial"/>
                <w:b/>
                <w:color w:val="666666"/>
                <w:sz w:val="18"/>
              </w:rPr>
              <w:t>Future specialised modules</w:t>
            </w:r>
          </w:p>
        </w:tc>
        <w:tc>
          <w:tcPr>
            <w:tcW w:type="dxa" w:w="6192"/>
            <w:shd w:fill="FFFFFF"/>
            <w:tcBorders>
              <w:bottom w:val="single" w:sz="4" w:color="D9D9D9"/>
            </w:tcBorders>
          </w:tcPr>
          <w:p>
            <w:pPr>
              <w:spacing w:before="60" w:after="60" w:line="240" w:lineRule="auto"/>
            </w:pPr>
            <w:r>
              <w:rPr>
                <w:rFonts w:ascii="Arial" w:hAnsi="Arial"/>
                <w:b w:val="0"/>
                <w:color w:val="111111"/>
                <w:sz w:val="18"/>
              </w:rPr>
              <w:t>RM5,000-RM10,000 per module</w:t>
            </w:r>
          </w:p>
        </w:tc>
      </w:tr>
    </w:tbl>
    <w:p>
      <w:pPr>
        <w:spacing w:before="0" w:after="60" w:line="264" w:lineRule="auto"/>
      </w:pPr>
      <w:r>
        <w:rPr>
          <w:rFonts w:ascii="Arial" w:hAnsi="Arial"/>
          <w:b w:val="0"/>
          <w:color w:val="111111"/>
          <w:sz w:val="21"/>
        </w:rPr>
      </w:r>
    </w:p>
    <w:tbl>
      <w:tblPr>
        <w:tblW w:type="auto" w:w="0"/>
        <w:jc w:val="center"/>
        <w:tblLook w:firstColumn="1" w:firstRow="1" w:lastColumn="0" w:lastRow="0" w:noHBand="0" w:noVBand="1" w:val="04A0"/>
      </w:tblPr>
      <w:tblGrid>
        <w:gridCol w:w="10166"/>
      </w:tblGrid>
      <w:tr>
        <w:tc>
          <w:tcPr>
            <w:tcW w:type="dxa" w:w="10166"/>
            <w:shd w:fill="FFF3ED"/>
          </w:tcPr>
          <w:p>
            <w:pPr>
              <w:spacing w:before="60" w:after="40" w:line="240" w:lineRule="auto"/>
            </w:pPr>
            <w:r>
              <w:rPr>
                <w:rFonts w:ascii="Arial" w:hAnsi="Arial"/>
                <w:b/>
                <w:color w:val="FF5A1F"/>
                <w:sz w:val="22"/>
              </w:rPr>
              <w:t>RECOMMENDED MANAGEMENT VIEW</w:t>
            </w:r>
          </w:p>
          <w:p>
            <w:pPr>
              <w:spacing w:before="0" w:after="80" w:line="259" w:lineRule="auto"/>
            </w:pPr>
            <w:r>
              <w:rPr>
                <w:rFonts w:ascii="Arial" w:hAnsi="Arial"/>
                <w:b w:val="0"/>
                <w:color w:val="111111"/>
                <w:sz w:val="20"/>
              </w:rPr>
              <w:t>Treat this as a capability investment, not as a website purchase. The website is one practical output. The long-term asset is the company's ability to use AI Agent and infrastructure to continue developing systems.</w:t>
            </w:r>
          </w:p>
        </w:tc>
      </w:tr>
    </w:tbl>
    <w:p>
      <w:pPr>
        <w:spacing w:before="0" w:after="40" w:line="264" w:lineRule="auto"/>
      </w:pPr>
      <w:r>
        <w:rPr>
          <w:rFonts w:ascii="Arial" w:hAnsi="Arial"/>
          <w:b w:val="0"/>
          <w:color w:val="111111"/>
          <w:sz w:val="21"/>
        </w:rPr>
      </w:r>
    </w:p>
    <w:p>
      <w:pPr>
        <w:spacing w:before="0" w:after="160" w:line="240" w:lineRule="auto"/>
      </w:pPr>
      <w:r>
        <w:rPr>
          <w:rFonts w:ascii="Arial" w:hAnsi="Arial"/>
          <w:b/>
          <w:color w:val="111111"/>
          <w:sz w:val="26"/>
        </w:rPr>
        <w:t>Website Service vs SME AI Capability Programme</w:t>
      </w:r>
    </w:p>
    <w:tbl>
      <w:tblPr>
        <w:tblW w:type="auto" w:w="0"/>
        <w:jc w:val="center"/>
        <w:tblLook w:firstColumn="1" w:firstRow="1" w:lastColumn="0" w:lastRow="0" w:noHBand="0" w:noVBand="1" w:val="04A0"/>
      </w:tblPr>
      <w:tblGrid>
        <w:gridCol w:w="3389"/>
        <w:gridCol w:w="3389"/>
        <w:gridCol w:w="3389"/>
      </w:tblGrid>
      <w:tr>
        <w:tc>
          <w:tcPr>
            <w:tcW w:type="dxa" w:w="2160"/>
            <w:shd w:fill="111111"/>
          </w:tcPr>
          <w:p>
            <w:pPr>
              <w:spacing w:before="60" w:after="60" w:line="240" w:lineRule="auto"/>
            </w:pPr>
            <w:r>
              <w:rPr>
                <w:rFonts w:ascii="Arial" w:hAnsi="Arial"/>
                <w:b/>
                <w:color w:val="FFFFFF"/>
                <w:sz w:val="18"/>
              </w:rPr>
              <w:t>Area</w:t>
            </w:r>
          </w:p>
        </w:tc>
        <w:tc>
          <w:tcPr>
            <w:tcW w:type="dxa" w:w="3528"/>
            <w:shd w:fill="111111"/>
          </w:tcPr>
          <w:p>
            <w:pPr>
              <w:spacing w:before="60" w:after="60" w:line="240" w:lineRule="auto"/>
            </w:pPr>
            <w:r>
              <w:rPr>
                <w:rFonts w:ascii="Arial" w:hAnsi="Arial"/>
                <w:b/>
                <w:color w:val="FFFFFF"/>
                <w:sz w:val="18"/>
              </w:rPr>
              <w:t>Website Development</w:t>
            </w:r>
          </w:p>
        </w:tc>
        <w:tc>
          <w:tcPr>
            <w:tcW w:type="dxa" w:w="4032"/>
            <w:shd w:fill="FF5A1F"/>
          </w:tcPr>
          <w:p>
            <w:pPr>
              <w:spacing w:before="60" w:after="60" w:line="240" w:lineRule="auto"/>
            </w:pPr>
            <w:r>
              <w:rPr>
                <w:rFonts w:ascii="Arial" w:hAnsi="Arial"/>
                <w:b/>
                <w:color w:val="FFFFFF"/>
                <w:sz w:val="18"/>
              </w:rPr>
              <w:t>SME AI Capability</w:t>
            </w:r>
          </w:p>
        </w:tc>
      </w:tr>
      <w:tr>
        <w:tc>
          <w:tcPr>
            <w:tcW w:type="dxa" w:w="2160"/>
            <w:shd w:fill="FFFFFF"/>
            <w:tcBorders>
              <w:bottom w:val="single" w:sz="4" w:color="D9D9D9"/>
            </w:tcBorders>
          </w:tcPr>
          <w:p>
            <w:pPr>
              <w:spacing w:before="60" w:after="60" w:line="240" w:lineRule="auto"/>
            </w:pPr>
            <w:r>
              <w:rPr>
                <w:rFonts w:ascii="Arial" w:hAnsi="Arial"/>
                <w:b/>
                <w:color w:val="666666"/>
                <w:sz w:val="18"/>
              </w:rPr>
              <w:t>Primary objective</w:t>
            </w:r>
          </w:p>
        </w:tc>
        <w:tc>
          <w:tcPr>
            <w:tcW w:type="dxa" w:w="3528"/>
            <w:shd w:fill="FFFFFF"/>
            <w:tcBorders>
              <w:bottom w:val="single" w:sz="4" w:color="D9D9D9"/>
            </w:tcBorders>
          </w:tcPr>
          <w:p>
            <w:pPr>
              <w:spacing w:before="60" w:after="60" w:line="240" w:lineRule="auto"/>
            </w:pPr>
            <w:r>
              <w:rPr>
                <w:rFonts w:ascii="Arial" w:hAnsi="Arial"/>
                <w:b w:val="0"/>
                <w:color w:val="111111"/>
                <w:sz w:val="18"/>
              </w:rPr>
              <w:t>Deliver a website</w:t>
            </w:r>
          </w:p>
        </w:tc>
        <w:tc>
          <w:tcPr>
            <w:tcW w:type="dxa" w:w="4032"/>
            <w:shd w:fill="FFFFFF"/>
            <w:tcBorders>
              <w:bottom w:val="single" w:sz="4" w:color="D9D9D9"/>
            </w:tcBorders>
          </w:tcPr>
          <w:p>
            <w:pPr>
              <w:spacing w:before="60" w:after="60" w:line="240" w:lineRule="auto"/>
            </w:pPr>
            <w:r>
              <w:rPr>
                <w:rFonts w:ascii="Arial" w:hAnsi="Arial"/>
                <w:b w:val="0"/>
                <w:color w:val="111111"/>
                <w:sz w:val="18"/>
              </w:rPr>
              <w:t>Build internal AI capability</w:t>
            </w:r>
          </w:p>
        </w:tc>
      </w:tr>
      <w:tr>
        <w:tc>
          <w:tcPr>
            <w:tcW w:type="dxa" w:w="2160"/>
            <w:shd w:fill="FAFAFA"/>
            <w:tcBorders>
              <w:bottom w:val="single" w:sz="4" w:color="D9D9D9"/>
            </w:tcBorders>
          </w:tcPr>
          <w:p>
            <w:pPr>
              <w:spacing w:before="60" w:after="60" w:line="240" w:lineRule="auto"/>
            </w:pPr>
            <w:r>
              <w:rPr>
                <w:rFonts w:ascii="Arial" w:hAnsi="Arial"/>
                <w:b/>
                <w:color w:val="666666"/>
                <w:sz w:val="18"/>
              </w:rPr>
              <w:t>Who builds</w:t>
            </w:r>
          </w:p>
        </w:tc>
        <w:tc>
          <w:tcPr>
            <w:tcW w:type="dxa" w:w="3528"/>
            <w:shd w:fill="FAFAFA"/>
            <w:tcBorders>
              <w:bottom w:val="single" w:sz="4" w:color="D9D9D9"/>
            </w:tcBorders>
          </w:tcPr>
          <w:p>
            <w:pPr>
              <w:spacing w:before="60" w:after="60" w:line="240" w:lineRule="auto"/>
            </w:pPr>
            <w:r>
              <w:rPr>
                <w:rFonts w:ascii="Arial" w:hAnsi="Arial"/>
                <w:b w:val="0"/>
                <w:color w:val="111111"/>
                <w:sz w:val="18"/>
              </w:rPr>
              <w:t>AINNA / developer</w:t>
            </w:r>
          </w:p>
        </w:tc>
        <w:tc>
          <w:tcPr>
            <w:tcW w:type="dxa" w:w="4032"/>
            <w:shd w:fill="FAFAFA"/>
            <w:tcBorders>
              <w:bottom w:val="single" w:sz="4" w:color="D9D9D9"/>
            </w:tcBorders>
          </w:tcPr>
          <w:p>
            <w:pPr>
              <w:spacing w:before="60" w:after="60" w:line="240" w:lineRule="auto"/>
            </w:pPr>
            <w:r>
              <w:rPr>
                <w:rFonts w:ascii="Arial" w:hAnsi="Arial"/>
                <w:b w:val="0"/>
                <w:color w:val="111111"/>
                <w:sz w:val="18"/>
              </w:rPr>
              <w:t>Staff + AINNA Agent</w:t>
            </w:r>
          </w:p>
        </w:tc>
      </w:tr>
      <w:tr>
        <w:tc>
          <w:tcPr>
            <w:tcW w:type="dxa" w:w="2160"/>
            <w:shd w:fill="FFFFFF"/>
            <w:tcBorders>
              <w:bottom w:val="single" w:sz="4" w:color="D9D9D9"/>
            </w:tcBorders>
          </w:tcPr>
          <w:p>
            <w:pPr>
              <w:spacing w:before="60" w:after="60" w:line="240" w:lineRule="auto"/>
            </w:pPr>
            <w:r>
              <w:rPr>
                <w:rFonts w:ascii="Arial" w:hAnsi="Arial"/>
                <w:b/>
                <w:color w:val="666666"/>
                <w:sz w:val="18"/>
              </w:rPr>
              <w:t>Main outcome</w:t>
            </w:r>
          </w:p>
        </w:tc>
        <w:tc>
          <w:tcPr>
            <w:tcW w:type="dxa" w:w="3528"/>
            <w:shd w:fill="FFFFFF"/>
            <w:tcBorders>
              <w:bottom w:val="single" w:sz="4" w:color="D9D9D9"/>
            </w:tcBorders>
          </w:tcPr>
          <w:p>
            <w:pPr>
              <w:spacing w:before="60" w:after="60" w:line="240" w:lineRule="auto"/>
            </w:pPr>
            <w:r>
              <w:rPr>
                <w:rFonts w:ascii="Arial" w:hAnsi="Arial"/>
                <w:b w:val="0"/>
                <w:color w:val="111111"/>
                <w:sz w:val="18"/>
              </w:rPr>
              <w:t>Completed website</w:t>
            </w:r>
          </w:p>
        </w:tc>
        <w:tc>
          <w:tcPr>
            <w:tcW w:type="dxa" w:w="4032"/>
            <w:shd w:fill="FFFFFF"/>
            <w:tcBorders>
              <w:bottom w:val="single" w:sz="4" w:color="D9D9D9"/>
            </w:tcBorders>
          </w:tcPr>
          <w:p>
            <w:pPr>
              <w:spacing w:before="60" w:after="60" w:line="240" w:lineRule="auto"/>
            </w:pPr>
            <w:r>
              <w:rPr>
                <w:rFonts w:ascii="Arial" w:hAnsi="Arial"/>
                <w:b w:val="0"/>
                <w:color w:val="111111"/>
                <w:sz w:val="18"/>
              </w:rPr>
              <w:t>Capability + infrastructure + working systems</w:t>
            </w:r>
          </w:p>
        </w:tc>
      </w:tr>
    </w:tbl>
    <w:p>
      <w:r>
        <w:br w:type="page"/>
      </w:r>
    </w:p>
    <w:p>
      <w:pPr>
        <w:spacing w:before="0" w:after="40" w:line="264" w:lineRule="auto"/>
      </w:pPr>
      <w:r>
        <w:rPr>
          <w:rFonts w:ascii="Arial" w:hAnsi="Arial"/>
          <w:b/>
          <w:color w:val="FF5A1F"/>
          <w:sz w:val="17"/>
        </w:rPr>
        <w:t>02</w:t>
      </w:r>
    </w:p>
    <w:p>
      <w:pPr>
        <w:spacing w:before="0" w:after="160" w:line="240" w:lineRule="auto"/>
      </w:pPr>
      <w:r>
        <w:rPr>
          <w:rFonts w:ascii="Arial" w:hAnsi="Arial"/>
          <w:b/>
          <w:color w:val="111111"/>
          <w:sz w:val="36"/>
        </w:rPr>
        <w:t>Strategic Rationale</w:t>
      </w:r>
    </w:p>
    <w:p>
      <w:pPr>
        <w:spacing w:before="0" w:after="160" w:line="264" w:lineRule="auto"/>
      </w:pPr>
      <w:r>
        <w:rPr>
          <w:rFonts w:ascii="Arial" w:hAnsi="Arial"/>
          <w:b w:val="0"/>
          <w:color w:val="111111"/>
          <w:sz w:val="22"/>
        </w:rPr>
        <w:t>Most SMEs already have people who understand the business. The gap is usually not business knowledge; it is the technical capability to convert that knowledge into working digital systems quickly and consistently.</w:t>
      </w:r>
    </w:p>
    <w:p>
      <w:pPr>
        <w:spacing w:before="0" w:after="160" w:line="240" w:lineRule="auto"/>
      </w:pPr>
      <w:r>
        <w:rPr>
          <w:rFonts w:ascii="Arial" w:hAnsi="Arial"/>
          <w:b/>
          <w:color w:val="111111"/>
          <w:sz w:val="26"/>
        </w:rPr>
        <w:t>The Capability Gap</w:t>
      </w:r>
    </w:p>
    <w:p>
      <w:pPr>
        <w:pStyle w:val="ListBullet"/>
        <w:spacing w:before="0" w:after="60" w:line="252" w:lineRule="auto"/>
      </w:pPr>
      <w:r>
        <w:rPr>
          <w:rFonts w:ascii="Arial" w:hAnsi="Arial"/>
          <w:b w:val="0"/>
          <w:color w:val="111111"/>
          <w:sz w:val="20"/>
        </w:rPr>
        <w:t>Operations staff understand real workflows but may not know how to design software.</w:t>
      </w:r>
    </w:p>
    <w:p>
      <w:pPr>
        <w:pStyle w:val="ListBullet"/>
        <w:spacing w:before="0" w:after="60" w:line="252" w:lineRule="auto"/>
      </w:pPr>
      <w:r>
        <w:rPr>
          <w:rFonts w:ascii="Arial" w:hAnsi="Arial"/>
          <w:b w:val="0"/>
          <w:color w:val="111111"/>
          <w:sz w:val="20"/>
        </w:rPr>
        <w:t>Management often relies on external developers for every new requirement or change.</w:t>
      </w:r>
    </w:p>
    <w:p>
      <w:pPr>
        <w:pStyle w:val="ListBullet"/>
        <w:spacing w:before="0" w:after="60" w:line="252" w:lineRule="auto"/>
      </w:pPr>
      <w:r>
        <w:rPr>
          <w:rFonts w:ascii="Arial" w:hAnsi="Arial"/>
          <w:b w:val="0"/>
          <w:color w:val="111111"/>
          <w:sz w:val="20"/>
        </w:rPr>
        <w:t>Generic software may not match the company's actual workflow.</w:t>
      </w:r>
    </w:p>
    <w:p>
      <w:pPr>
        <w:pStyle w:val="ListBullet"/>
        <w:spacing w:before="0" w:after="60" w:line="252" w:lineRule="auto"/>
      </w:pPr>
      <w:r>
        <w:rPr>
          <w:rFonts w:ascii="Arial" w:hAnsi="Arial"/>
          <w:b w:val="0"/>
          <w:color w:val="111111"/>
          <w:sz w:val="20"/>
        </w:rPr>
        <w:t>Business requirements can change faster than conventional development cycles.</w:t>
      </w:r>
    </w:p>
    <w:p>
      <w:pPr>
        <w:pStyle w:val="ListBullet"/>
        <w:spacing w:before="0" w:after="60" w:line="252" w:lineRule="auto"/>
      </w:pPr>
      <w:r>
        <w:rPr>
          <w:rFonts w:ascii="Arial" w:hAnsi="Arial"/>
          <w:b w:val="0"/>
          <w:color w:val="111111"/>
          <w:sz w:val="20"/>
        </w:rPr>
        <w:t>AI allows domain experts to participate directly in system development.</w:t>
      </w:r>
    </w:p>
    <w:p>
      <w:pPr>
        <w:spacing w:before="0" w:after="160" w:line="240" w:lineRule="auto"/>
      </w:pPr>
      <w:r>
        <w:rPr>
          <w:rFonts w:ascii="Arial" w:hAnsi="Arial"/>
          <w:b/>
          <w:color w:val="111111"/>
          <w:sz w:val="26"/>
        </w:rPr>
        <w:t>The AINNA Model</w:t>
      </w:r>
    </w:p>
    <w:p>
      <w:pPr>
        <w:spacing w:before="0" w:after="140" w:line="264" w:lineRule="auto"/>
      </w:pPr>
      <w:r>
        <w:rPr>
          <w:rFonts w:ascii="Arial" w:hAnsi="Arial"/>
          <w:b w:val="0"/>
          <w:color w:val="111111"/>
          <w:sz w:val="21"/>
        </w:rPr>
        <w:t>AINNA positions the AI Agent as a digital IT capability. Staff remain the domain experts; the Agent supports planning, implementation, testing, troubleshooting and improvement.</w:t>
      </w:r>
    </w:p>
    <w:tbl>
      <w:tblPr>
        <w:tblW w:type="auto" w:w="0"/>
        <w:jc w:val="center"/>
        <w:tblLook w:firstColumn="1" w:firstRow="1" w:lastColumn="0" w:lastRow="0" w:noHBand="0" w:noVBand="1" w:val="04A0"/>
      </w:tblPr>
      <w:tblGrid>
        <w:gridCol w:w="5083"/>
        <w:gridCol w:w="5083"/>
      </w:tblGrid>
      <w:tr>
        <w:tc>
          <w:tcPr>
            <w:tcW w:type="dxa" w:w="864"/>
            <w:shd w:fill="FFFFFF"/>
            <w:tcBorders>
              <w:bottom w:val="single" w:sz="4" w:color="D9D9D9"/>
            </w:tcBorders>
          </w:tcPr>
          <w:p>
            <w:pPr>
              <w:spacing w:before="60" w:after="60" w:line="240" w:lineRule="auto"/>
            </w:pPr>
            <w:r>
              <w:rPr>
                <w:rFonts w:ascii="Arial" w:hAnsi="Arial"/>
                <w:b/>
                <w:color w:val="666666"/>
                <w:sz w:val="18"/>
              </w:rPr>
              <w:t>1</w:t>
            </w:r>
          </w:p>
        </w:tc>
        <w:tc>
          <w:tcPr>
            <w:tcW w:type="dxa" w:w="8784"/>
            <w:shd w:fill="FFFFFF"/>
            <w:tcBorders>
              <w:bottom w:val="single" w:sz="4" w:color="D9D9D9"/>
            </w:tcBorders>
          </w:tcPr>
          <w:p>
            <w:pPr>
              <w:spacing w:before="60" w:after="60" w:line="240" w:lineRule="auto"/>
            </w:pPr>
            <w:r>
              <w:rPr>
                <w:rFonts w:ascii="Arial" w:hAnsi="Arial"/>
                <w:b w:val="0"/>
                <w:color w:val="111111"/>
                <w:sz w:val="18"/>
              </w:rPr>
              <w:t>Business problem</w:t>
            </w:r>
          </w:p>
        </w:tc>
      </w:tr>
      <w:tr>
        <w:tc>
          <w:tcPr>
            <w:tcW w:type="dxa" w:w="864"/>
            <w:shd w:fill="FAFAFA"/>
            <w:tcBorders>
              <w:bottom w:val="single" w:sz="4" w:color="D9D9D9"/>
            </w:tcBorders>
          </w:tcPr>
          <w:p>
            <w:pPr>
              <w:spacing w:before="60" w:after="60" w:line="240" w:lineRule="auto"/>
            </w:pPr>
            <w:r>
              <w:rPr>
                <w:rFonts w:ascii="Arial" w:hAnsi="Arial"/>
                <w:b/>
                <w:color w:val="666666"/>
                <w:sz w:val="18"/>
              </w:rPr>
              <w:t>2</w:t>
            </w:r>
          </w:p>
        </w:tc>
        <w:tc>
          <w:tcPr>
            <w:tcW w:type="dxa" w:w="8784"/>
            <w:shd w:fill="FAFAFA"/>
            <w:tcBorders>
              <w:bottom w:val="single" w:sz="4" w:color="D9D9D9"/>
            </w:tcBorders>
          </w:tcPr>
          <w:p>
            <w:pPr>
              <w:spacing w:before="60" w:after="60" w:line="240" w:lineRule="auto"/>
            </w:pPr>
            <w:r>
              <w:rPr>
                <w:rFonts w:ascii="Arial" w:hAnsi="Arial"/>
                <w:b w:val="0"/>
                <w:color w:val="111111"/>
                <w:sz w:val="18"/>
              </w:rPr>
              <w:t>Staff explains requirement</w:t>
            </w:r>
          </w:p>
        </w:tc>
      </w:tr>
      <w:tr>
        <w:tc>
          <w:tcPr>
            <w:tcW w:type="dxa" w:w="864"/>
            <w:shd w:fill="FFFFFF"/>
            <w:tcBorders>
              <w:bottom w:val="single" w:sz="4" w:color="D9D9D9"/>
            </w:tcBorders>
          </w:tcPr>
          <w:p>
            <w:pPr>
              <w:spacing w:before="60" w:after="60" w:line="240" w:lineRule="auto"/>
            </w:pPr>
            <w:r>
              <w:rPr>
                <w:rFonts w:ascii="Arial" w:hAnsi="Arial"/>
                <w:b/>
                <w:color w:val="666666"/>
                <w:sz w:val="18"/>
              </w:rPr>
              <w:t>3</w:t>
            </w:r>
          </w:p>
        </w:tc>
        <w:tc>
          <w:tcPr>
            <w:tcW w:type="dxa" w:w="8784"/>
            <w:shd w:fill="FFFFFF"/>
            <w:tcBorders>
              <w:bottom w:val="single" w:sz="4" w:color="D9D9D9"/>
            </w:tcBorders>
          </w:tcPr>
          <w:p>
            <w:pPr>
              <w:spacing w:before="60" w:after="60" w:line="240" w:lineRule="auto"/>
            </w:pPr>
            <w:r>
              <w:rPr>
                <w:rFonts w:ascii="Arial" w:hAnsi="Arial"/>
                <w:b w:val="0"/>
                <w:color w:val="111111"/>
                <w:sz w:val="18"/>
              </w:rPr>
              <w:t>AINNA Agent plans and builds</w:t>
            </w:r>
          </w:p>
        </w:tc>
      </w:tr>
      <w:tr>
        <w:tc>
          <w:tcPr>
            <w:tcW w:type="dxa" w:w="864"/>
            <w:shd w:fill="FAFAFA"/>
            <w:tcBorders>
              <w:bottom w:val="single" w:sz="4" w:color="D9D9D9"/>
            </w:tcBorders>
          </w:tcPr>
          <w:p>
            <w:pPr>
              <w:spacing w:before="60" w:after="60" w:line="240" w:lineRule="auto"/>
            </w:pPr>
            <w:r>
              <w:rPr>
                <w:rFonts w:ascii="Arial" w:hAnsi="Arial"/>
                <w:b/>
                <w:color w:val="666666"/>
                <w:sz w:val="18"/>
              </w:rPr>
              <w:t>4</w:t>
            </w:r>
          </w:p>
        </w:tc>
        <w:tc>
          <w:tcPr>
            <w:tcW w:type="dxa" w:w="8784"/>
            <w:shd w:fill="FAFAFA"/>
            <w:tcBorders>
              <w:bottom w:val="single" w:sz="4" w:color="D9D9D9"/>
            </w:tcBorders>
          </w:tcPr>
          <w:p>
            <w:pPr>
              <w:spacing w:before="60" w:after="60" w:line="240" w:lineRule="auto"/>
            </w:pPr>
            <w:r>
              <w:rPr>
                <w:rFonts w:ascii="Arial" w:hAnsi="Arial"/>
                <w:b w:val="0"/>
                <w:color w:val="111111"/>
                <w:sz w:val="18"/>
              </w:rPr>
              <w:t>Team tests and improves</w:t>
            </w:r>
          </w:p>
        </w:tc>
      </w:tr>
      <w:tr>
        <w:tc>
          <w:tcPr>
            <w:tcW w:type="dxa" w:w="864"/>
            <w:shd w:fill="FFFFFF"/>
            <w:tcBorders>
              <w:bottom w:val="single" w:sz="4" w:color="D9D9D9"/>
            </w:tcBorders>
          </w:tcPr>
          <w:p>
            <w:pPr>
              <w:spacing w:before="60" w:after="60" w:line="240" w:lineRule="auto"/>
            </w:pPr>
            <w:r>
              <w:rPr>
                <w:rFonts w:ascii="Arial" w:hAnsi="Arial"/>
                <w:b/>
                <w:color w:val="666666"/>
                <w:sz w:val="18"/>
              </w:rPr>
              <w:t>5</w:t>
            </w:r>
          </w:p>
        </w:tc>
        <w:tc>
          <w:tcPr>
            <w:tcW w:type="dxa" w:w="8784"/>
            <w:shd w:fill="FFFFFF"/>
            <w:tcBorders>
              <w:bottom w:val="single" w:sz="4" w:color="D9D9D9"/>
            </w:tcBorders>
          </w:tcPr>
          <w:p>
            <w:pPr>
              <w:spacing w:before="60" w:after="60" w:line="240" w:lineRule="auto"/>
            </w:pPr>
            <w:r>
              <w:rPr>
                <w:rFonts w:ascii="Arial" w:hAnsi="Arial"/>
                <w:b w:val="0"/>
                <w:color w:val="111111"/>
                <w:sz w:val="18"/>
              </w:rPr>
              <w:t>System is deployed and used</w:t>
            </w:r>
          </w:p>
        </w:tc>
      </w:tr>
    </w:tbl>
    <w:tbl>
      <w:tblPr>
        <w:tblW w:type="auto" w:w="0"/>
        <w:jc w:val="center"/>
        <w:tblLook w:firstColumn="1" w:firstRow="1" w:lastColumn="0" w:lastRow="0" w:noHBand="0" w:noVBand="1" w:val="04A0"/>
      </w:tblPr>
      <w:tblGrid>
        <w:gridCol w:w="10166"/>
      </w:tblGrid>
      <w:tr>
        <w:tc>
          <w:tcPr>
            <w:tcW w:type="dxa" w:w="10166"/>
            <w:shd w:fill="FFF3ED"/>
          </w:tcPr>
          <w:p>
            <w:pPr>
              <w:spacing w:before="60" w:after="40" w:line="240" w:lineRule="auto"/>
            </w:pPr>
            <w:r>
              <w:rPr>
                <w:rFonts w:ascii="Arial" w:hAnsi="Arial"/>
                <w:b/>
                <w:color w:val="FF5A1F"/>
                <w:sz w:val="22"/>
              </w:rPr>
              <w:t>MANAGEMENT BENEFIT</w:t>
            </w:r>
          </w:p>
          <w:p>
            <w:pPr>
              <w:spacing w:before="0" w:after="80" w:line="259" w:lineRule="auto"/>
            </w:pPr>
            <w:r>
              <w:rPr>
                <w:rFonts w:ascii="Arial" w:hAnsi="Arial"/>
                <w:b w:val="0"/>
                <w:color w:val="111111"/>
                <w:sz w:val="20"/>
              </w:rPr>
              <w:t>The organisation is not expected to become a software company. The goal is to make selected staff capable of turning business requirements into practical digital solutions with AI assistance.</w:t>
            </w:r>
          </w:p>
        </w:tc>
      </w:tr>
    </w:tbl>
    <w:p>
      <w:pPr>
        <w:spacing w:before="0" w:after="40" w:line="264" w:lineRule="auto"/>
      </w:pPr>
      <w:r>
        <w:rPr>
          <w:rFonts w:ascii="Arial" w:hAnsi="Arial"/>
          <w:b w:val="0"/>
          <w:color w:val="111111"/>
          <w:sz w:val="21"/>
        </w:rPr>
      </w:r>
    </w:p>
    <w:p>
      <w:pPr>
        <w:spacing w:before="0" w:after="160" w:line="240" w:lineRule="auto"/>
      </w:pPr>
      <w:r>
        <w:rPr>
          <w:rFonts w:ascii="Arial" w:hAnsi="Arial"/>
          <w:b/>
          <w:color w:val="111111"/>
          <w:sz w:val="26"/>
        </w:rPr>
        <w:t>Expected Business Impact</w:t>
      </w:r>
    </w:p>
    <w:tbl>
      <w:tblPr>
        <w:tblW w:type="auto" w:w="0"/>
        <w:jc w:val="center"/>
        <w:tblLook w:firstColumn="1" w:firstRow="1" w:lastColumn="0" w:lastRow="0" w:noHBand="0" w:noVBand="1" w:val="04A0"/>
      </w:tblPr>
      <w:tblGrid>
        <w:gridCol w:w="5083"/>
        <w:gridCol w:w="5083"/>
      </w:tblGrid>
      <w:tr>
        <w:tc>
          <w:tcPr>
            <w:tcW w:type="dxa" w:w="1728"/>
            <w:shd w:fill="FFFFFF"/>
            <w:tcBorders>
              <w:bottom w:val="single" w:sz="4" w:color="D9D9D9"/>
            </w:tcBorders>
          </w:tcPr>
          <w:p>
            <w:pPr>
              <w:spacing w:before="60" w:after="60" w:line="240" w:lineRule="auto"/>
            </w:pPr>
            <w:r>
              <w:rPr>
                <w:rFonts w:ascii="Arial" w:hAnsi="Arial"/>
                <w:b/>
                <w:color w:val="666666"/>
                <w:sz w:val="18"/>
              </w:rPr>
              <w:t>Faster</w:t>
            </w:r>
          </w:p>
        </w:tc>
        <w:tc>
          <w:tcPr>
            <w:tcW w:type="dxa" w:w="7920"/>
            <w:shd w:fill="FFFFFF"/>
            <w:tcBorders>
              <w:bottom w:val="single" w:sz="4" w:color="D9D9D9"/>
            </w:tcBorders>
          </w:tcPr>
          <w:p>
            <w:pPr>
              <w:spacing w:before="60" w:after="60" w:line="240" w:lineRule="auto"/>
            </w:pPr>
            <w:r>
              <w:rPr>
                <w:rFonts w:ascii="Arial" w:hAnsi="Arial"/>
                <w:b w:val="0"/>
                <w:color w:val="111111"/>
                <w:sz w:val="18"/>
              </w:rPr>
              <w:t>Shorter path from idea to prototype.</w:t>
            </w:r>
          </w:p>
        </w:tc>
      </w:tr>
      <w:tr>
        <w:tc>
          <w:tcPr>
            <w:tcW w:type="dxa" w:w="1728"/>
            <w:shd w:fill="FAFAFA"/>
            <w:tcBorders>
              <w:bottom w:val="single" w:sz="4" w:color="D9D9D9"/>
            </w:tcBorders>
          </w:tcPr>
          <w:p>
            <w:pPr>
              <w:spacing w:before="60" w:after="60" w:line="240" w:lineRule="auto"/>
            </w:pPr>
            <w:r>
              <w:rPr>
                <w:rFonts w:ascii="Arial" w:hAnsi="Arial"/>
                <w:b/>
                <w:color w:val="666666"/>
                <w:sz w:val="18"/>
              </w:rPr>
              <w:t>Leaner</w:t>
            </w:r>
          </w:p>
        </w:tc>
        <w:tc>
          <w:tcPr>
            <w:tcW w:type="dxa" w:w="7920"/>
            <w:shd w:fill="FAFAFA"/>
            <w:tcBorders>
              <w:bottom w:val="single" w:sz="4" w:color="D9D9D9"/>
            </w:tcBorders>
          </w:tcPr>
          <w:p>
            <w:pPr>
              <w:spacing w:before="60" w:after="60" w:line="240" w:lineRule="auto"/>
            </w:pPr>
            <w:r>
              <w:rPr>
                <w:rFonts w:ascii="Arial" w:hAnsi="Arial"/>
                <w:b w:val="0"/>
                <w:color w:val="111111"/>
                <w:sz w:val="18"/>
              </w:rPr>
              <w:t>Less dependency on external development for smaller changes.</w:t>
            </w:r>
          </w:p>
        </w:tc>
      </w:tr>
      <w:tr>
        <w:tc>
          <w:tcPr>
            <w:tcW w:type="dxa" w:w="1728"/>
            <w:shd w:fill="FFFFFF"/>
            <w:tcBorders>
              <w:bottom w:val="single" w:sz="4" w:color="D9D9D9"/>
            </w:tcBorders>
          </w:tcPr>
          <w:p>
            <w:pPr>
              <w:spacing w:before="60" w:after="60" w:line="240" w:lineRule="auto"/>
            </w:pPr>
            <w:r>
              <w:rPr>
                <w:rFonts w:ascii="Arial" w:hAnsi="Arial"/>
                <w:b/>
                <w:color w:val="666666"/>
                <w:sz w:val="18"/>
              </w:rPr>
              <w:t>Closer</w:t>
            </w:r>
          </w:p>
        </w:tc>
        <w:tc>
          <w:tcPr>
            <w:tcW w:type="dxa" w:w="7920"/>
            <w:shd w:fill="FFFFFF"/>
            <w:tcBorders>
              <w:bottom w:val="single" w:sz="4" w:color="D9D9D9"/>
            </w:tcBorders>
          </w:tcPr>
          <w:p>
            <w:pPr>
              <w:spacing w:before="60" w:after="60" w:line="240" w:lineRule="auto"/>
            </w:pPr>
            <w:r>
              <w:rPr>
                <w:rFonts w:ascii="Arial" w:hAnsi="Arial"/>
                <w:b w:val="0"/>
                <w:color w:val="111111"/>
                <w:sz w:val="18"/>
              </w:rPr>
              <w:t>System design remains close to actual business operations.</w:t>
            </w:r>
          </w:p>
        </w:tc>
      </w:tr>
      <w:tr>
        <w:tc>
          <w:tcPr>
            <w:tcW w:type="dxa" w:w="1728"/>
            <w:shd w:fill="FAFAFA"/>
            <w:tcBorders>
              <w:bottom w:val="single" w:sz="4" w:color="D9D9D9"/>
            </w:tcBorders>
          </w:tcPr>
          <w:p>
            <w:pPr>
              <w:spacing w:before="60" w:after="60" w:line="240" w:lineRule="auto"/>
            </w:pPr>
            <w:r>
              <w:rPr>
                <w:rFonts w:ascii="Arial" w:hAnsi="Arial"/>
                <w:b/>
                <w:color w:val="666666"/>
                <w:sz w:val="18"/>
              </w:rPr>
              <w:t>Scalable</w:t>
            </w:r>
          </w:p>
        </w:tc>
        <w:tc>
          <w:tcPr>
            <w:tcW w:type="dxa" w:w="7920"/>
            <w:shd w:fill="FAFAFA"/>
            <w:tcBorders>
              <w:bottom w:val="single" w:sz="4" w:color="D9D9D9"/>
            </w:tcBorders>
          </w:tcPr>
          <w:p>
            <w:pPr>
              <w:spacing w:before="60" w:after="60" w:line="240" w:lineRule="auto"/>
            </w:pPr>
            <w:r>
              <w:rPr>
                <w:rFonts w:ascii="Arial" w:hAnsi="Arial"/>
                <w:b w:val="0"/>
                <w:color w:val="111111"/>
                <w:sz w:val="18"/>
              </w:rPr>
              <w:t>Add specialised modules only when the business needs them.</w:t>
            </w:r>
          </w:p>
        </w:tc>
      </w:tr>
    </w:tbl>
    <w:p>
      <w:r>
        <w:br w:type="page"/>
      </w:r>
    </w:p>
    <w:p>
      <w:pPr>
        <w:spacing w:before="0" w:after="40" w:line="264" w:lineRule="auto"/>
      </w:pPr>
      <w:r>
        <w:rPr>
          <w:rFonts w:ascii="Arial" w:hAnsi="Arial"/>
          <w:b/>
          <w:color w:val="FF5A1F"/>
          <w:sz w:val="17"/>
        </w:rPr>
        <w:t>03</w:t>
      </w:r>
    </w:p>
    <w:p>
      <w:pPr>
        <w:spacing w:before="0" w:after="160" w:line="240" w:lineRule="auto"/>
      </w:pPr>
      <w:r>
        <w:rPr>
          <w:rFonts w:ascii="Arial" w:hAnsi="Arial"/>
          <w:b/>
          <w:color w:val="111111"/>
          <w:sz w:val="36"/>
        </w:rPr>
        <w:t>Programme Scope</w:t>
      </w:r>
    </w:p>
    <w:p>
      <w:pPr>
        <w:spacing w:before="0" w:after="180" w:line="264" w:lineRule="auto"/>
      </w:pPr>
      <w:r>
        <w:rPr>
          <w:rFonts w:ascii="Arial" w:hAnsi="Arial"/>
          <w:b w:val="0"/>
          <w:color w:val="111111"/>
          <w:sz w:val="22"/>
        </w:rPr>
        <w:t>The programme combines business consultation, technical guidance, AINNA Agent usage and premium infrastructure into one intensive, practical engagement.</w:t>
      </w:r>
    </w:p>
    <w:p>
      <w:pPr>
        <w:spacing w:before="0" w:after="160" w:line="240" w:lineRule="auto"/>
      </w:pPr>
      <w:r>
        <w:rPr>
          <w:rFonts w:ascii="Arial" w:hAnsi="Arial"/>
          <w:b/>
          <w:color w:val="111111"/>
          <w:sz w:val="26"/>
        </w:rPr>
        <w:t>Premium Training - RM18,000</w:t>
      </w:r>
    </w:p>
    <w:p>
      <w:pPr>
        <w:pStyle w:val="ListBullet"/>
        <w:spacing w:before="0" w:after="60" w:line="252" w:lineRule="auto"/>
      </w:pPr>
      <w:r>
        <w:rPr>
          <w:rFonts w:ascii="Arial" w:hAnsi="Arial"/>
          <w:b w:val="0"/>
          <w:color w:val="111111"/>
          <w:sz w:val="20"/>
        </w:rPr>
        <w:t>3-day dedicated 1-to-1 programme for the participating SME.</w:t>
      </w:r>
    </w:p>
    <w:p>
      <w:pPr>
        <w:pStyle w:val="ListBullet"/>
        <w:spacing w:before="0" w:after="60" w:line="252" w:lineRule="auto"/>
      </w:pPr>
      <w:r>
        <w:rPr>
          <w:rFonts w:ascii="Arial" w:hAnsi="Arial"/>
          <w:b w:val="0"/>
          <w:color w:val="111111"/>
          <w:sz w:val="20"/>
        </w:rPr>
        <w:t>Hands-on use of AINNA Agent for system planning and development.</w:t>
      </w:r>
    </w:p>
    <w:p>
      <w:pPr>
        <w:pStyle w:val="ListBullet"/>
        <w:spacing w:before="0" w:after="60" w:line="252" w:lineRule="auto"/>
      </w:pPr>
      <w:r>
        <w:rPr>
          <w:rFonts w:ascii="Arial" w:hAnsi="Arial"/>
          <w:b w:val="0"/>
          <w:color w:val="111111"/>
          <w:sz w:val="20"/>
        </w:rPr>
        <w:t>Business consultation based on the company's own operating context.</w:t>
      </w:r>
    </w:p>
    <w:p>
      <w:pPr>
        <w:pStyle w:val="ListBullet"/>
        <w:spacing w:before="0" w:after="60" w:line="252" w:lineRule="auto"/>
      </w:pPr>
      <w:r>
        <w:rPr>
          <w:rFonts w:ascii="Arial" w:hAnsi="Arial"/>
          <w:b w:val="0"/>
          <w:color w:val="111111"/>
          <w:sz w:val="20"/>
        </w:rPr>
        <w:t>Premium infrastructure and access to high-quality AI models during the programme.</w:t>
      </w:r>
    </w:p>
    <w:p>
      <w:pPr>
        <w:pStyle w:val="ListBullet"/>
        <w:spacing w:before="0" w:after="60" w:line="252" w:lineRule="auto"/>
      </w:pPr>
      <w:r>
        <w:rPr>
          <w:rFonts w:ascii="Arial" w:hAnsi="Arial"/>
          <w:b w:val="0"/>
          <w:color w:val="111111"/>
          <w:sz w:val="20"/>
        </w:rPr>
        <w:t>Practical development of website, e-commerce components, light dashboards and simple internal tools.</w:t>
      </w:r>
    </w:p>
    <w:p>
      <w:pPr>
        <w:pStyle w:val="ListBullet"/>
        <w:spacing w:before="0" w:after="60" w:line="252" w:lineRule="auto"/>
      </w:pPr>
      <w:r>
        <w:rPr>
          <w:rFonts w:ascii="Arial" w:hAnsi="Arial"/>
          <w:b w:val="0"/>
          <w:color w:val="111111"/>
          <w:sz w:val="20"/>
        </w:rPr>
        <w:t>Testing, debugging, deployment guidance and knowledge transfer.</w:t>
      </w:r>
    </w:p>
    <w:p>
      <w:pPr>
        <w:pStyle w:val="ListBullet"/>
        <w:spacing w:before="0" w:after="60" w:line="252" w:lineRule="auto"/>
      </w:pPr>
      <w:r>
        <w:rPr>
          <w:rFonts w:ascii="Arial" w:hAnsi="Arial"/>
          <w:b w:val="0"/>
          <w:color w:val="111111"/>
          <w:sz w:val="20"/>
        </w:rPr>
        <w:t>First-year infrastructure included.</w:t>
      </w:r>
    </w:p>
    <w:p>
      <w:pPr>
        <w:spacing w:before="0" w:after="160" w:line="240" w:lineRule="auto"/>
      </w:pPr>
      <w:r>
        <w:rPr>
          <w:rFonts w:ascii="Arial" w:hAnsi="Arial"/>
          <w:b/>
          <w:color w:val="111111"/>
          <w:sz w:val="26"/>
        </w:rPr>
        <w:t>Training Location</w:t>
      </w:r>
    </w:p>
    <w:tbl>
      <w:tblPr>
        <w:tblW w:type="auto" w:w="0"/>
        <w:jc w:val="center"/>
        <w:tblLook w:firstColumn="1" w:firstRow="1" w:lastColumn="0" w:lastRow="0" w:noHBand="0" w:noVBand="1" w:val="04A0"/>
      </w:tblPr>
      <w:tblGrid>
        <w:gridCol w:w="5083"/>
        <w:gridCol w:w="5083"/>
      </w:tblGrid>
      <w:tr>
        <w:tc>
          <w:tcPr>
            <w:tcW w:type="dxa" w:w="3024"/>
            <w:shd w:fill="FFFFFF"/>
            <w:tcBorders>
              <w:bottom w:val="single" w:sz="4" w:color="D9D9D9"/>
            </w:tcBorders>
          </w:tcPr>
          <w:p>
            <w:pPr>
              <w:spacing w:before="60" w:after="60" w:line="240" w:lineRule="auto"/>
            </w:pPr>
            <w:r>
              <w:rPr>
                <w:rFonts w:ascii="Arial" w:hAnsi="Arial"/>
                <w:b/>
                <w:color w:val="666666"/>
                <w:sz w:val="18"/>
              </w:rPr>
              <w:t>AINNA Office - Recommended</w:t>
            </w:r>
          </w:p>
        </w:tc>
        <w:tc>
          <w:tcPr>
            <w:tcW w:type="dxa" w:w="6624"/>
            <w:shd w:fill="FFFFFF"/>
            <w:tcBorders>
              <w:bottom w:val="single" w:sz="4" w:color="D9D9D9"/>
            </w:tcBorders>
          </w:tcPr>
          <w:p>
            <w:pPr>
              <w:spacing w:before="60" w:after="60" w:line="240" w:lineRule="auto"/>
            </w:pPr>
            <w:r>
              <w:rPr>
                <w:rFonts w:ascii="Arial" w:hAnsi="Arial"/>
                <w:b w:val="0"/>
                <w:color w:val="111111"/>
                <w:sz w:val="18"/>
              </w:rPr>
              <w:t>Selected staff attend AINNA for 3 focused days, away from day-to-day operational interruptions.</w:t>
            </w:r>
          </w:p>
        </w:tc>
      </w:tr>
      <w:tr>
        <w:tc>
          <w:tcPr>
            <w:tcW w:type="dxa" w:w="3024"/>
            <w:shd w:fill="FAFAFA"/>
            <w:tcBorders>
              <w:bottom w:val="single" w:sz="4" w:color="D9D9D9"/>
            </w:tcBorders>
          </w:tcPr>
          <w:p>
            <w:pPr>
              <w:spacing w:before="60" w:after="60" w:line="240" w:lineRule="auto"/>
            </w:pPr>
            <w:r>
              <w:rPr>
                <w:rFonts w:ascii="Arial" w:hAnsi="Arial"/>
                <w:b/>
                <w:color w:val="666666"/>
                <w:sz w:val="18"/>
              </w:rPr>
              <w:t>SME Premises - Optional</w:t>
            </w:r>
          </w:p>
        </w:tc>
        <w:tc>
          <w:tcPr>
            <w:tcW w:type="dxa" w:w="6624"/>
            <w:shd w:fill="FAFAFA"/>
            <w:tcBorders>
              <w:bottom w:val="single" w:sz="4" w:color="D9D9D9"/>
            </w:tcBorders>
          </w:tcPr>
          <w:p>
            <w:pPr>
              <w:spacing w:before="60" w:after="60" w:line="240" w:lineRule="auto"/>
            </w:pPr>
            <w:r>
              <w:rPr>
                <w:rFonts w:ascii="Arial" w:hAnsi="Arial"/>
                <w:b w:val="0"/>
                <w:color w:val="111111"/>
                <w:sz w:val="18"/>
              </w:rPr>
              <w:t>AINNA conducts the programme at the client's location. Additional RM500 logistics fee applies.</w:t>
            </w:r>
          </w:p>
        </w:tc>
      </w:tr>
    </w:tbl>
    <w:p>
      <w:pPr>
        <w:spacing w:before="0" w:after="160" w:line="240" w:lineRule="auto"/>
      </w:pPr>
      <w:r>
        <w:rPr>
          <w:rFonts w:ascii="Arial" w:hAnsi="Arial"/>
          <w:b/>
          <w:color w:val="111111"/>
          <w:sz w:val="26"/>
        </w:rPr>
        <w:t>Practical Outputs</w:t>
      </w:r>
    </w:p>
    <w:tbl>
      <w:tblPr>
        <w:tblW w:type="auto" w:w="0"/>
        <w:jc w:val="center"/>
        <w:tblLook w:firstColumn="1" w:firstRow="1" w:lastColumn="0" w:lastRow="0" w:noHBand="0" w:noVBand="1" w:val="04A0"/>
      </w:tblPr>
      <w:tblGrid>
        <w:gridCol w:w="5083"/>
        <w:gridCol w:w="5083"/>
      </w:tblGrid>
      <w:tr>
        <w:tc>
          <w:tcPr>
            <w:tcW w:type="dxa" w:w="2448"/>
            <w:shd w:fill="FFFFFF"/>
            <w:tcBorders>
              <w:bottom w:val="single" w:sz="4" w:color="D9D9D9"/>
            </w:tcBorders>
          </w:tcPr>
          <w:p>
            <w:pPr>
              <w:spacing w:before="60" w:after="60" w:line="240" w:lineRule="auto"/>
            </w:pPr>
            <w:r>
              <w:rPr>
                <w:rFonts w:ascii="Arial" w:hAnsi="Arial"/>
                <w:b/>
                <w:color w:val="666666"/>
                <w:sz w:val="18"/>
              </w:rPr>
              <w:t>Website</w:t>
            </w:r>
          </w:p>
        </w:tc>
        <w:tc>
          <w:tcPr>
            <w:tcW w:type="dxa" w:w="7200"/>
            <w:shd w:fill="FFFFFF"/>
            <w:tcBorders>
              <w:bottom w:val="single" w:sz="4" w:color="D9D9D9"/>
            </w:tcBorders>
          </w:tcPr>
          <w:p>
            <w:pPr>
              <w:spacing w:before="60" w:after="60" w:line="240" w:lineRule="auto"/>
            </w:pPr>
            <w:r>
              <w:rPr>
                <w:rFonts w:ascii="Arial" w:hAnsi="Arial"/>
                <w:b w:val="0"/>
                <w:color w:val="111111"/>
                <w:sz w:val="18"/>
              </w:rPr>
              <w:t>Corporate or product website structure built as a practical exercise.</w:t>
            </w:r>
          </w:p>
        </w:tc>
      </w:tr>
      <w:tr>
        <w:tc>
          <w:tcPr>
            <w:tcW w:type="dxa" w:w="2448"/>
            <w:shd w:fill="FAFAFA"/>
            <w:tcBorders>
              <w:bottom w:val="single" w:sz="4" w:color="D9D9D9"/>
            </w:tcBorders>
          </w:tcPr>
          <w:p>
            <w:pPr>
              <w:spacing w:before="60" w:after="60" w:line="240" w:lineRule="auto"/>
            </w:pPr>
            <w:r>
              <w:rPr>
                <w:rFonts w:ascii="Arial" w:hAnsi="Arial"/>
                <w:b/>
                <w:color w:val="666666"/>
                <w:sz w:val="18"/>
              </w:rPr>
              <w:t>E-commerce</w:t>
            </w:r>
          </w:p>
        </w:tc>
        <w:tc>
          <w:tcPr>
            <w:tcW w:type="dxa" w:w="7200"/>
            <w:shd w:fill="FAFAFA"/>
            <w:tcBorders>
              <w:bottom w:val="single" w:sz="4" w:color="D9D9D9"/>
            </w:tcBorders>
          </w:tcPr>
          <w:p>
            <w:pPr>
              <w:spacing w:before="60" w:after="60" w:line="240" w:lineRule="auto"/>
            </w:pPr>
            <w:r>
              <w:rPr>
                <w:rFonts w:ascii="Arial" w:hAnsi="Arial"/>
                <w:b w:val="0"/>
                <w:color w:val="111111"/>
                <w:sz w:val="18"/>
              </w:rPr>
              <w:t>Product catalogue, product page, cart, checkout and order flow.</w:t>
            </w:r>
          </w:p>
        </w:tc>
      </w:tr>
      <w:tr>
        <w:tc>
          <w:tcPr>
            <w:tcW w:type="dxa" w:w="2448"/>
            <w:shd w:fill="FFFFFF"/>
            <w:tcBorders>
              <w:bottom w:val="single" w:sz="4" w:color="D9D9D9"/>
            </w:tcBorders>
          </w:tcPr>
          <w:p>
            <w:pPr>
              <w:spacing w:before="60" w:after="60" w:line="240" w:lineRule="auto"/>
            </w:pPr>
            <w:r>
              <w:rPr>
                <w:rFonts w:ascii="Arial" w:hAnsi="Arial"/>
                <w:b/>
                <w:color w:val="666666"/>
                <w:sz w:val="18"/>
              </w:rPr>
              <w:t>Integration readiness</w:t>
            </w:r>
          </w:p>
        </w:tc>
        <w:tc>
          <w:tcPr>
            <w:tcW w:type="dxa" w:w="7200"/>
            <w:shd w:fill="FFFFFF"/>
            <w:tcBorders>
              <w:bottom w:val="single" w:sz="4" w:color="D9D9D9"/>
            </w:tcBorders>
          </w:tcPr>
          <w:p>
            <w:pPr>
              <w:spacing w:before="60" w:after="60" w:line="240" w:lineRule="auto"/>
            </w:pPr>
            <w:r>
              <w:rPr>
                <w:rFonts w:ascii="Arial" w:hAnsi="Arial"/>
                <w:b w:val="0"/>
                <w:color w:val="111111"/>
                <w:sz w:val="18"/>
              </w:rPr>
              <w:t>Payment gateway and EasyParcel integration structure, subject to merchant/API credentials.</w:t>
            </w:r>
          </w:p>
        </w:tc>
      </w:tr>
      <w:tr>
        <w:tc>
          <w:tcPr>
            <w:tcW w:type="dxa" w:w="2448"/>
            <w:shd w:fill="FAFAFA"/>
            <w:tcBorders>
              <w:bottom w:val="single" w:sz="4" w:color="D9D9D9"/>
            </w:tcBorders>
          </w:tcPr>
          <w:p>
            <w:pPr>
              <w:spacing w:before="60" w:after="60" w:line="240" w:lineRule="auto"/>
            </w:pPr>
            <w:r>
              <w:rPr>
                <w:rFonts w:ascii="Arial" w:hAnsi="Arial"/>
                <w:b/>
                <w:color w:val="666666"/>
                <w:sz w:val="18"/>
              </w:rPr>
              <w:t>Light dashboards</w:t>
            </w:r>
          </w:p>
        </w:tc>
        <w:tc>
          <w:tcPr>
            <w:tcW w:type="dxa" w:w="7200"/>
            <w:shd w:fill="FAFAFA"/>
            <w:tcBorders>
              <w:bottom w:val="single" w:sz="4" w:color="D9D9D9"/>
            </w:tcBorders>
          </w:tcPr>
          <w:p>
            <w:pPr>
              <w:spacing w:before="60" w:after="60" w:line="240" w:lineRule="auto"/>
            </w:pPr>
            <w:r>
              <w:rPr>
                <w:rFonts w:ascii="Arial" w:hAnsi="Arial"/>
                <w:b w:val="0"/>
                <w:color w:val="111111"/>
                <w:sz w:val="18"/>
              </w:rPr>
              <w:t>Sales, order, inventory or management dashboard examples.</w:t>
            </w:r>
          </w:p>
        </w:tc>
      </w:tr>
      <w:tr>
        <w:tc>
          <w:tcPr>
            <w:tcW w:type="dxa" w:w="2448"/>
            <w:shd w:fill="FFFFFF"/>
            <w:tcBorders>
              <w:bottom w:val="single" w:sz="4" w:color="D9D9D9"/>
            </w:tcBorders>
          </w:tcPr>
          <w:p>
            <w:pPr>
              <w:spacing w:before="60" w:after="60" w:line="240" w:lineRule="auto"/>
            </w:pPr>
            <w:r>
              <w:rPr>
                <w:rFonts w:ascii="Arial" w:hAnsi="Arial"/>
                <w:b/>
                <w:color w:val="666666"/>
                <w:sz w:val="18"/>
              </w:rPr>
              <w:t>Internal tools</w:t>
            </w:r>
          </w:p>
        </w:tc>
        <w:tc>
          <w:tcPr>
            <w:tcW w:type="dxa" w:w="7200"/>
            <w:shd w:fill="FFFFFF"/>
            <w:tcBorders>
              <w:bottom w:val="single" w:sz="4" w:color="D9D9D9"/>
            </w:tcBorders>
          </w:tcPr>
          <w:p>
            <w:pPr>
              <w:spacing w:before="60" w:after="60" w:line="240" w:lineRule="auto"/>
            </w:pPr>
            <w:r>
              <w:rPr>
                <w:rFonts w:ascii="Arial" w:hAnsi="Arial"/>
                <w:b w:val="0"/>
                <w:color w:val="111111"/>
                <w:sz w:val="18"/>
              </w:rPr>
              <w:t>Forms, simple CRM, customer database, reporting or workflow utilities.</w:t>
            </w:r>
          </w:p>
        </w:tc>
      </w:tr>
    </w:tbl>
    <w:p>
      <w:r>
        <w:br w:type="page"/>
      </w:r>
    </w:p>
    <w:p>
      <w:pPr>
        <w:spacing w:before="0" w:after="40" w:line="264" w:lineRule="auto"/>
      </w:pPr>
      <w:r>
        <w:rPr>
          <w:rFonts w:ascii="Arial" w:hAnsi="Arial"/>
          <w:b/>
          <w:color w:val="FF5A1F"/>
          <w:sz w:val="17"/>
        </w:rPr>
        <w:t>04</w:t>
      </w:r>
    </w:p>
    <w:p>
      <w:pPr>
        <w:spacing w:before="0" w:after="160" w:line="240" w:lineRule="auto"/>
      </w:pPr>
      <w:r>
        <w:rPr>
          <w:rFonts w:ascii="Arial" w:hAnsi="Arial"/>
          <w:b/>
          <w:color w:val="111111"/>
          <w:sz w:val="36"/>
        </w:rPr>
        <w:t>Proposed 3-Day Tentative</w:t>
      </w:r>
    </w:p>
    <w:p>
      <w:pPr>
        <w:spacing w:before="0" w:after="200" w:line="264" w:lineRule="auto"/>
      </w:pPr>
      <w:r>
        <w:rPr>
          <w:rFonts w:ascii="Arial" w:hAnsi="Arial"/>
          <w:b w:val="0"/>
          <w:color w:val="111111"/>
          <w:sz w:val="22"/>
        </w:rPr>
        <w:t>The programme follows one principle: learn by building. Each day moves from understanding to implementation and then to deployment readiness.</w:t>
      </w:r>
    </w:p>
    <w:p>
      <w:pPr>
        <w:spacing w:before="0" w:after="80" w:line="264" w:lineRule="auto"/>
      </w:pPr>
      <w:r>
        <w:rPr>
          <w:rFonts w:ascii="Arial" w:hAnsi="Arial"/>
          <w:b/>
          <w:color w:val="FF5A1F"/>
          <w:sz w:val="25"/>
        </w:rPr>
        <w:t>DAY 1 - AI Agent, Business Requirement &amp; Planning</w:t>
      </w:r>
    </w:p>
    <w:p>
      <w:pPr>
        <w:pStyle w:val="ListBullet"/>
        <w:spacing w:before="0" w:after="60" w:line="252" w:lineRule="auto"/>
      </w:pPr>
      <w:r>
        <w:rPr>
          <w:rFonts w:ascii="Arial" w:hAnsi="Arial"/>
          <w:b w:val="0"/>
          <w:color w:val="111111"/>
          <w:sz w:val="20"/>
        </w:rPr>
        <w:t>Introduction to AINNA Agent and AI Agent vs chatbot</w:t>
      </w:r>
    </w:p>
    <w:p>
      <w:pPr>
        <w:pStyle w:val="ListBullet"/>
        <w:spacing w:before="0" w:after="60" w:line="252" w:lineRule="auto"/>
      </w:pPr>
      <w:r>
        <w:rPr>
          <w:rFonts w:ascii="Arial" w:hAnsi="Arial"/>
          <w:b w:val="0"/>
          <w:color w:val="111111"/>
          <w:sz w:val="20"/>
        </w:rPr>
        <w:t>Identify business pain points and define the first build target</w:t>
      </w:r>
    </w:p>
    <w:p>
      <w:pPr>
        <w:pStyle w:val="ListBullet"/>
        <w:spacing w:before="0" w:after="60" w:line="252" w:lineRule="auto"/>
      </w:pPr>
      <w:r>
        <w:rPr>
          <w:rFonts w:ascii="Arial" w:hAnsi="Arial"/>
          <w:b w:val="0"/>
          <w:color w:val="111111"/>
          <w:sz w:val="20"/>
        </w:rPr>
        <w:t>Requirement gathering and workflow mapping</w:t>
      </w:r>
    </w:p>
    <w:p>
      <w:pPr>
        <w:pStyle w:val="ListBullet"/>
        <w:spacing w:before="0" w:after="60" w:line="252" w:lineRule="auto"/>
      </w:pPr>
      <w:r>
        <w:rPr>
          <w:rFonts w:ascii="Arial" w:hAnsi="Arial"/>
          <w:b w:val="0"/>
          <w:color w:val="111111"/>
          <w:sz w:val="20"/>
        </w:rPr>
        <w:t>Define scope, content structure and business rules</w:t>
      </w:r>
    </w:p>
    <w:p>
      <w:pPr>
        <w:pStyle w:val="ListBullet"/>
        <w:spacing w:before="0" w:after="60" w:line="252" w:lineRule="auto"/>
      </w:pPr>
      <w:r>
        <w:rPr>
          <w:rFonts w:ascii="Arial" w:hAnsi="Arial"/>
          <w:b w:val="0"/>
          <w:color w:val="111111"/>
          <w:sz w:val="20"/>
        </w:rPr>
        <w:t>Plan website, dashboard and internal tool requirements</w:t>
      </w:r>
    </w:p>
    <w:p>
      <w:pPr>
        <w:spacing w:before="0" w:after="200" w:line="264" w:lineRule="auto"/>
      </w:pPr>
      <w:r>
        <w:rPr>
          <w:rFonts w:ascii="Arial" w:hAnsi="Arial"/>
          <w:b/>
          <w:color w:val="111111"/>
          <w:sz w:val="19"/>
        </w:rPr>
        <w:t>Outcome: clear project requirement, workflow and development roadmap.</w:t>
      </w:r>
    </w:p>
    <w:p>
      <w:pPr>
        <w:spacing w:before="0" w:after="80" w:line="264" w:lineRule="auto"/>
      </w:pPr>
      <w:r>
        <w:rPr>
          <w:rFonts w:ascii="Arial" w:hAnsi="Arial"/>
          <w:b/>
          <w:color w:val="FF5A1F"/>
          <w:sz w:val="25"/>
        </w:rPr>
        <w:t>DAY 2 - Hands-On Build</w:t>
      </w:r>
    </w:p>
    <w:p>
      <w:pPr>
        <w:pStyle w:val="ListBullet"/>
        <w:spacing w:before="0" w:after="60" w:line="252" w:lineRule="auto"/>
      </w:pPr>
      <w:r>
        <w:rPr>
          <w:rFonts w:ascii="Arial" w:hAnsi="Arial"/>
          <w:b w:val="0"/>
          <w:color w:val="111111"/>
          <w:sz w:val="20"/>
        </w:rPr>
        <w:t>Build website structure and key pages</w:t>
      </w:r>
    </w:p>
    <w:p>
      <w:pPr>
        <w:pStyle w:val="ListBullet"/>
        <w:spacing w:before="0" w:after="60" w:line="252" w:lineRule="auto"/>
      </w:pPr>
      <w:r>
        <w:rPr>
          <w:rFonts w:ascii="Arial" w:hAnsi="Arial"/>
          <w:b w:val="0"/>
          <w:color w:val="111111"/>
          <w:sz w:val="20"/>
        </w:rPr>
        <w:t>Build product catalogue, product page and shopping cart example</w:t>
      </w:r>
    </w:p>
    <w:p>
      <w:pPr>
        <w:pStyle w:val="ListBullet"/>
        <w:spacing w:before="0" w:after="60" w:line="252" w:lineRule="auto"/>
      </w:pPr>
      <w:r>
        <w:rPr>
          <w:rFonts w:ascii="Arial" w:hAnsi="Arial"/>
          <w:b w:val="0"/>
          <w:color w:val="111111"/>
          <w:sz w:val="20"/>
        </w:rPr>
        <w:t>Create checkout and order-flow example</w:t>
      </w:r>
    </w:p>
    <w:p>
      <w:pPr>
        <w:pStyle w:val="ListBullet"/>
        <w:spacing w:before="0" w:after="60" w:line="252" w:lineRule="auto"/>
      </w:pPr>
      <w:r>
        <w:rPr>
          <w:rFonts w:ascii="Arial" w:hAnsi="Arial"/>
          <w:b w:val="0"/>
          <w:color w:val="111111"/>
          <w:sz w:val="20"/>
        </w:rPr>
        <w:t>Prepare payment gateway and EasyParcel integration structure</w:t>
      </w:r>
    </w:p>
    <w:p>
      <w:pPr>
        <w:pStyle w:val="ListBullet"/>
        <w:spacing w:before="0" w:after="60" w:line="252" w:lineRule="auto"/>
      </w:pPr>
      <w:r>
        <w:rPr>
          <w:rFonts w:ascii="Arial" w:hAnsi="Arial"/>
          <w:b w:val="0"/>
          <w:color w:val="111111"/>
          <w:sz w:val="20"/>
        </w:rPr>
        <w:t>Build a light dashboard and selected internal workflow</w:t>
      </w:r>
    </w:p>
    <w:p>
      <w:pPr>
        <w:pStyle w:val="ListBullet"/>
        <w:spacing w:before="0" w:after="60" w:line="252" w:lineRule="auto"/>
      </w:pPr>
      <w:r>
        <w:rPr>
          <w:rFonts w:ascii="Arial" w:hAnsi="Arial"/>
          <w:b w:val="0"/>
          <w:color w:val="111111"/>
          <w:sz w:val="20"/>
        </w:rPr>
        <w:t>Test and improve the first working output</w:t>
      </w:r>
    </w:p>
    <w:p>
      <w:pPr>
        <w:spacing w:before="0" w:after="200" w:line="264" w:lineRule="auto"/>
      </w:pPr>
      <w:r>
        <w:rPr>
          <w:rFonts w:ascii="Arial" w:hAnsi="Arial"/>
          <w:b/>
          <w:color w:val="111111"/>
          <w:sz w:val="19"/>
        </w:rPr>
        <w:t>Outcome: working prototype covering website/e-commerce and light dashboard components.</w:t>
      </w:r>
    </w:p>
    <w:p>
      <w:pPr>
        <w:spacing w:before="0" w:after="80" w:line="264" w:lineRule="auto"/>
      </w:pPr>
      <w:r>
        <w:rPr>
          <w:rFonts w:ascii="Arial" w:hAnsi="Arial"/>
          <w:b/>
          <w:color w:val="FF5A1F"/>
          <w:sz w:val="25"/>
        </w:rPr>
        <w:t>DAY 3 - Test, Improve &amp; Deployment Readiness</w:t>
      </w:r>
    </w:p>
    <w:p>
      <w:pPr>
        <w:pStyle w:val="ListBullet"/>
        <w:spacing w:before="0" w:after="60" w:line="252" w:lineRule="auto"/>
      </w:pPr>
      <w:r>
        <w:rPr>
          <w:rFonts w:ascii="Arial" w:hAnsi="Arial"/>
          <w:b w:val="0"/>
          <w:color w:val="111111"/>
          <w:sz w:val="20"/>
        </w:rPr>
        <w:t>Review and debug the build</w:t>
      </w:r>
    </w:p>
    <w:p>
      <w:pPr>
        <w:pStyle w:val="ListBullet"/>
        <w:spacing w:before="0" w:after="60" w:line="252" w:lineRule="auto"/>
      </w:pPr>
      <w:r>
        <w:rPr>
          <w:rFonts w:ascii="Arial" w:hAnsi="Arial"/>
          <w:b w:val="0"/>
          <w:color w:val="111111"/>
          <w:sz w:val="20"/>
        </w:rPr>
        <w:t>Improve usability, content and workflow</w:t>
      </w:r>
    </w:p>
    <w:p>
      <w:pPr>
        <w:pStyle w:val="ListBullet"/>
        <w:spacing w:before="0" w:after="60" w:line="252" w:lineRule="auto"/>
      </w:pPr>
      <w:r>
        <w:rPr>
          <w:rFonts w:ascii="Arial" w:hAnsi="Arial"/>
          <w:b w:val="0"/>
          <w:color w:val="111111"/>
          <w:sz w:val="20"/>
        </w:rPr>
        <w:t>Basic deployment, backup and security guidance</w:t>
      </w:r>
    </w:p>
    <w:p>
      <w:pPr>
        <w:pStyle w:val="ListBullet"/>
        <w:spacing w:before="0" w:after="60" w:line="252" w:lineRule="auto"/>
      </w:pPr>
      <w:r>
        <w:rPr>
          <w:rFonts w:ascii="Arial" w:hAnsi="Arial"/>
          <w:b w:val="0"/>
          <w:color w:val="111111"/>
          <w:sz w:val="20"/>
        </w:rPr>
        <w:t>Learn how to continue modifying the system with AINNA Agent</w:t>
      </w:r>
    </w:p>
    <w:p>
      <w:pPr>
        <w:pStyle w:val="ListBullet"/>
        <w:spacing w:before="0" w:after="60" w:line="252" w:lineRule="auto"/>
      </w:pPr>
      <w:r>
        <w:rPr>
          <w:rFonts w:ascii="Arial" w:hAnsi="Arial"/>
          <w:b w:val="0"/>
          <w:color w:val="111111"/>
          <w:sz w:val="20"/>
        </w:rPr>
        <w:t>Define the next business module and development priorities</w:t>
      </w:r>
    </w:p>
    <w:p>
      <w:pPr>
        <w:spacing w:before="0" w:after="200" w:line="264" w:lineRule="auto"/>
      </w:pPr>
      <w:r>
        <w:rPr>
          <w:rFonts w:ascii="Arial" w:hAnsi="Arial"/>
          <w:b/>
          <w:color w:val="111111"/>
          <w:sz w:val="19"/>
        </w:rPr>
        <w:t>Outcome: deployable foundation, internal capability and next-stage roadmap.</w:t>
      </w:r>
    </w:p>
    <w:p>
      <w:r>
        <w:br w:type="page"/>
      </w:r>
    </w:p>
    <w:p>
      <w:pPr>
        <w:spacing w:before="0" w:after="40" w:line="264" w:lineRule="auto"/>
      </w:pPr>
      <w:r>
        <w:rPr>
          <w:rFonts w:ascii="Arial" w:hAnsi="Arial"/>
          <w:b/>
          <w:color w:val="FF5A1F"/>
          <w:sz w:val="17"/>
        </w:rPr>
        <w:t>05</w:t>
      </w:r>
    </w:p>
    <w:p>
      <w:pPr>
        <w:spacing w:before="0" w:after="160" w:line="240" w:lineRule="auto"/>
      </w:pPr>
      <w:r>
        <w:rPr>
          <w:rFonts w:ascii="Arial" w:hAnsi="Arial"/>
          <w:b/>
          <w:color w:val="111111"/>
          <w:sz w:val="36"/>
        </w:rPr>
        <w:t>Infrastructure &amp; Expansion Path</w:t>
      </w:r>
    </w:p>
    <w:p>
      <w:pPr>
        <w:spacing w:before="0" w:after="160" w:line="240" w:lineRule="auto"/>
      </w:pPr>
      <w:r>
        <w:rPr>
          <w:rFonts w:ascii="Arial" w:hAnsi="Arial"/>
          <w:b/>
          <w:color w:val="111111"/>
          <w:sz w:val="26"/>
        </w:rPr>
        <w:t>Premium Infrastructure</w:t>
      </w:r>
    </w:p>
    <w:p>
      <w:pPr>
        <w:spacing w:before="0" w:after="140" w:line="264" w:lineRule="auto"/>
      </w:pPr>
      <w:r>
        <w:rPr>
          <w:rFonts w:ascii="Arial" w:hAnsi="Arial"/>
          <w:b w:val="0"/>
          <w:color w:val="111111"/>
          <w:sz w:val="21"/>
        </w:rPr>
        <w:t>The programme includes an AI-assisted development environment intended to support the training and provide a foundation for continued development.</w:t>
      </w:r>
    </w:p>
    <w:p>
      <w:pPr>
        <w:pStyle w:val="ListBullet"/>
        <w:spacing w:before="0" w:after="60" w:line="252" w:lineRule="auto"/>
      </w:pPr>
      <w:r>
        <w:rPr>
          <w:rFonts w:ascii="Arial" w:hAnsi="Arial"/>
          <w:b w:val="0"/>
          <w:color w:val="111111"/>
          <w:sz w:val="20"/>
        </w:rPr>
        <w:t>AINNA Agent environment</w:t>
      </w:r>
    </w:p>
    <w:p>
      <w:pPr>
        <w:pStyle w:val="ListBullet"/>
        <w:spacing w:before="0" w:after="60" w:line="252" w:lineRule="auto"/>
      </w:pPr>
      <w:r>
        <w:rPr>
          <w:rFonts w:ascii="Arial" w:hAnsi="Arial"/>
          <w:b w:val="0"/>
          <w:color w:val="111111"/>
          <w:sz w:val="20"/>
        </w:rPr>
        <w:t>VPS / server environment</w:t>
      </w:r>
    </w:p>
    <w:p>
      <w:pPr>
        <w:pStyle w:val="ListBullet"/>
        <w:spacing w:before="0" w:after="60" w:line="252" w:lineRule="auto"/>
      </w:pPr>
      <w:r>
        <w:rPr>
          <w:rFonts w:ascii="Arial" w:hAnsi="Arial"/>
          <w:b w:val="0"/>
          <w:color w:val="111111"/>
          <w:sz w:val="20"/>
        </w:rPr>
        <w:t>Development environment</w:t>
      </w:r>
    </w:p>
    <w:p>
      <w:pPr>
        <w:pStyle w:val="ListBullet"/>
        <w:spacing w:before="0" w:after="60" w:line="252" w:lineRule="auto"/>
      </w:pPr>
      <w:r>
        <w:rPr>
          <w:rFonts w:ascii="Arial" w:hAnsi="Arial"/>
          <w:b w:val="0"/>
          <w:color w:val="111111"/>
          <w:sz w:val="20"/>
        </w:rPr>
        <w:t>Database foundation</w:t>
      </w:r>
    </w:p>
    <w:p>
      <w:pPr>
        <w:pStyle w:val="ListBullet"/>
        <w:spacing w:before="0" w:after="60" w:line="252" w:lineRule="auto"/>
      </w:pPr>
      <w:r>
        <w:rPr>
          <w:rFonts w:ascii="Arial" w:hAnsi="Arial"/>
          <w:b w:val="0"/>
          <w:color w:val="111111"/>
          <w:sz w:val="20"/>
        </w:rPr>
        <w:t>Application hosting structure</w:t>
      </w:r>
    </w:p>
    <w:p>
      <w:pPr>
        <w:pStyle w:val="ListBullet"/>
        <w:spacing w:before="0" w:after="60" w:line="252" w:lineRule="auto"/>
      </w:pPr>
      <w:r>
        <w:rPr>
          <w:rFonts w:ascii="Arial" w:hAnsi="Arial"/>
          <w:b w:val="0"/>
          <w:color w:val="111111"/>
          <w:sz w:val="20"/>
        </w:rPr>
        <w:t>AI model routing</w:t>
      </w:r>
    </w:p>
    <w:p>
      <w:pPr>
        <w:pStyle w:val="ListBullet"/>
        <w:spacing w:before="0" w:after="60" w:line="252" w:lineRule="auto"/>
      </w:pPr>
      <w:r>
        <w:rPr>
          <w:rFonts w:ascii="Arial" w:hAnsi="Arial"/>
          <w:b w:val="0"/>
          <w:color w:val="111111"/>
          <w:sz w:val="20"/>
        </w:rPr>
        <w:t>Backup environment</w:t>
      </w:r>
    </w:p>
    <w:p>
      <w:pPr>
        <w:pStyle w:val="ListBullet"/>
        <w:spacing w:before="0" w:after="60" w:line="252" w:lineRule="auto"/>
      </w:pPr>
      <w:r>
        <w:rPr>
          <w:rFonts w:ascii="Arial" w:hAnsi="Arial"/>
          <w:b w:val="0"/>
          <w:color w:val="111111"/>
          <w:sz w:val="20"/>
        </w:rPr>
        <w:t>Basic security configuration</w:t>
      </w:r>
    </w:p>
    <w:p>
      <w:pPr>
        <w:pStyle w:val="ListBullet"/>
        <w:spacing w:before="0" w:after="60" w:line="252" w:lineRule="auto"/>
      </w:pPr>
      <w:r>
        <w:rPr>
          <w:rFonts w:ascii="Arial" w:hAnsi="Arial"/>
          <w:b w:val="0"/>
          <w:color w:val="111111"/>
          <w:sz w:val="20"/>
        </w:rPr>
        <w:t>Access to high-quality AI models selected for fast and efficient development</w:t>
      </w:r>
    </w:p>
    <w:tbl>
      <w:tblPr>
        <w:tblW w:type="auto" w:w="0"/>
        <w:jc w:val="center"/>
        <w:tblLook w:firstColumn="1" w:firstRow="1" w:lastColumn="0" w:lastRow="0" w:noHBand="0" w:noVBand="1" w:val="04A0"/>
      </w:tblPr>
      <w:tblGrid>
        <w:gridCol w:w="10166"/>
      </w:tblGrid>
      <w:tr>
        <w:tc>
          <w:tcPr>
            <w:tcW w:type="dxa" w:w="10166"/>
            <w:shd w:fill="FFF3ED"/>
          </w:tcPr>
          <w:p>
            <w:pPr>
              <w:spacing w:before="60" w:after="40" w:line="240" w:lineRule="auto"/>
            </w:pPr>
            <w:r>
              <w:rPr>
                <w:rFonts w:ascii="Arial" w:hAnsi="Arial"/>
                <w:b/>
                <w:color w:val="FF5A1F"/>
                <w:sz w:val="22"/>
              </w:rPr>
              <w:t>INFRASTRUCTURE CONTINUITY</w:t>
            </w:r>
          </w:p>
          <w:p>
            <w:pPr>
              <w:spacing w:before="0" w:after="80" w:line="259" w:lineRule="auto"/>
            </w:pPr>
            <w:r>
              <w:rPr>
                <w:rFonts w:ascii="Arial" w:hAnsi="Arial"/>
                <w:b w:val="0"/>
                <w:color w:val="111111"/>
                <w:sz w:val="20"/>
              </w:rPr>
              <w:t>Year 1 infrastructure is included. From Year 2 onwards, infrastructure continuity and basic support are RM2,000 per year.</w:t>
            </w:r>
          </w:p>
        </w:tc>
      </w:tr>
    </w:tbl>
    <w:p>
      <w:pPr>
        <w:spacing w:before="0" w:after="40" w:line="264" w:lineRule="auto"/>
      </w:pPr>
      <w:r>
        <w:rPr>
          <w:rFonts w:ascii="Arial" w:hAnsi="Arial"/>
          <w:b w:val="0"/>
          <w:color w:val="111111"/>
          <w:sz w:val="21"/>
        </w:rPr>
      </w:r>
    </w:p>
    <w:p>
      <w:pPr>
        <w:spacing w:before="0" w:after="160" w:line="240" w:lineRule="auto"/>
      </w:pPr>
      <w:r>
        <w:rPr>
          <w:rFonts w:ascii="Arial" w:hAnsi="Arial"/>
          <w:b/>
          <w:color w:val="111111"/>
          <w:sz w:val="26"/>
        </w:rPr>
        <w:t>Module Training &amp; Development</w:t>
      </w:r>
    </w:p>
    <w:p>
      <w:pPr>
        <w:spacing w:before="0" w:after="100" w:line="264" w:lineRule="auto"/>
      </w:pPr>
      <w:r>
        <w:rPr>
          <w:rFonts w:ascii="Arial" w:hAnsi="Arial"/>
          <w:b w:val="0"/>
          <w:color w:val="111111"/>
          <w:sz w:val="21"/>
        </w:rPr>
        <w:t>After the capability foundation is established, the company may continue with specialised business modules. Each module is handled as a focused engagement until it becomes a practical working system.</w:t>
      </w:r>
    </w:p>
    <w:p>
      <w:pPr>
        <w:spacing w:before="0" w:after="160" w:line="264" w:lineRule="auto"/>
        <w:jc w:val="center"/>
      </w:pPr>
      <w:r>
        <w:rPr>
          <w:rFonts w:ascii="Arial" w:hAnsi="Arial"/>
          <w:b/>
          <w:color w:val="FF5A1F"/>
          <w:sz w:val="22"/>
        </w:rPr>
        <w:t>ONE MODULE  -&gt;  ONE TRAINING  -&gt;  ONE WORKING SYSTEM</w:t>
      </w:r>
    </w:p>
    <w:tbl>
      <w:tblPr>
        <w:tblW w:type="auto" w:w="0"/>
        <w:jc w:val="center"/>
        <w:tblLook w:firstColumn="1" w:firstRow="1" w:lastColumn="0" w:lastRow="0" w:noHBand="0" w:noVBand="1" w:val="04A0"/>
      </w:tblPr>
      <w:tblGrid>
        <w:gridCol w:w="5083"/>
        <w:gridCol w:w="5083"/>
      </w:tblGrid>
      <w:tr>
        <w:tc>
          <w:tcPr>
            <w:tcW w:type="dxa" w:w="4824"/>
            <w:shd w:fill="FFFFFF"/>
            <w:tcBorders>
              <w:bottom w:val="single" w:sz="4" w:color="D9D9D9"/>
            </w:tcBorders>
          </w:tcPr>
          <w:p>
            <w:pPr>
              <w:spacing w:before="60" w:after="60" w:line="240" w:lineRule="auto"/>
            </w:pPr>
            <w:r>
              <w:rPr>
                <w:rFonts w:ascii="Arial" w:hAnsi="Arial"/>
                <w:b/>
                <w:color w:val="666666"/>
                <w:sz w:val="18"/>
              </w:rPr>
              <w:t>Inventory Management</w:t>
            </w:r>
          </w:p>
        </w:tc>
        <w:tc>
          <w:tcPr>
            <w:tcW w:type="dxa" w:w="4824"/>
            <w:shd w:fill="FFFFFF"/>
            <w:tcBorders>
              <w:bottom w:val="single" w:sz="4" w:color="D9D9D9"/>
            </w:tcBorders>
          </w:tcPr>
          <w:p>
            <w:pPr>
              <w:spacing w:before="60" w:after="60" w:line="240" w:lineRule="auto"/>
            </w:pPr>
            <w:r>
              <w:rPr>
                <w:rFonts w:ascii="Arial" w:hAnsi="Arial"/>
                <w:b w:val="0"/>
                <w:color w:val="111111"/>
                <w:sz w:val="18"/>
              </w:rPr>
              <w:t>Sales Management</w:t>
            </w:r>
          </w:p>
        </w:tc>
      </w:tr>
      <w:tr>
        <w:tc>
          <w:tcPr>
            <w:tcW w:type="dxa" w:w="4824"/>
            <w:shd w:fill="FAFAFA"/>
            <w:tcBorders>
              <w:bottom w:val="single" w:sz="4" w:color="D9D9D9"/>
            </w:tcBorders>
          </w:tcPr>
          <w:p>
            <w:pPr>
              <w:spacing w:before="60" w:after="60" w:line="240" w:lineRule="auto"/>
            </w:pPr>
            <w:r>
              <w:rPr>
                <w:rFonts w:ascii="Arial" w:hAnsi="Arial"/>
                <w:b/>
                <w:color w:val="666666"/>
                <w:sz w:val="18"/>
              </w:rPr>
              <w:t>CRM &amp; Customer Management</w:t>
            </w:r>
          </w:p>
        </w:tc>
        <w:tc>
          <w:tcPr>
            <w:tcW w:type="dxa" w:w="4824"/>
            <w:shd w:fill="FAFAFA"/>
            <w:tcBorders>
              <w:bottom w:val="single" w:sz="4" w:color="D9D9D9"/>
            </w:tcBorders>
          </w:tcPr>
          <w:p>
            <w:pPr>
              <w:spacing w:before="60" w:after="60" w:line="240" w:lineRule="auto"/>
            </w:pPr>
            <w:r>
              <w:rPr>
                <w:rFonts w:ascii="Arial" w:hAnsi="Arial"/>
                <w:b w:val="0"/>
                <w:color w:val="111111"/>
                <w:sz w:val="18"/>
              </w:rPr>
              <w:t>Production Planning</w:t>
            </w:r>
          </w:p>
        </w:tc>
      </w:tr>
      <w:tr>
        <w:tc>
          <w:tcPr>
            <w:tcW w:type="dxa" w:w="4824"/>
            <w:shd w:fill="FFFFFF"/>
            <w:tcBorders>
              <w:bottom w:val="single" w:sz="4" w:color="D9D9D9"/>
            </w:tcBorders>
          </w:tcPr>
          <w:p>
            <w:pPr>
              <w:spacing w:before="60" w:after="60" w:line="240" w:lineRule="auto"/>
            </w:pPr>
            <w:r>
              <w:rPr>
                <w:rFonts w:ascii="Arial" w:hAnsi="Arial"/>
                <w:b/>
                <w:color w:val="666666"/>
                <w:sz w:val="18"/>
              </w:rPr>
              <w:t>Order Fulfilment</w:t>
            </w:r>
          </w:p>
        </w:tc>
        <w:tc>
          <w:tcPr>
            <w:tcW w:type="dxa" w:w="4824"/>
            <w:shd w:fill="FFFFFF"/>
            <w:tcBorders>
              <w:bottom w:val="single" w:sz="4" w:color="D9D9D9"/>
            </w:tcBorders>
          </w:tcPr>
          <w:p>
            <w:pPr>
              <w:spacing w:before="60" w:after="60" w:line="240" w:lineRule="auto"/>
            </w:pPr>
            <w:r>
              <w:rPr>
                <w:rFonts w:ascii="Arial" w:hAnsi="Arial"/>
                <w:b w:val="0"/>
                <w:color w:val="111111"/>
                <w:sz w:val="18"/>
              </w:rPr>
              <w:t>Finance Management</w:t>
            </w:r>
          </w:p>
        </w:tc>
      </w:tr>
      <w:tr>
        <w:tc>
          <w:tcPr>
            <w:tcW w:type="dxa" w:w="4824"/>
            <w:shd w:fill="FAFAFA"/>
            <w:tcBorders>
              <w:bottom w:val="single" w:sz="4" w:color="D9D9D9"/>
            </w:tcBorders>
          </w:tcPr>
          <w:p>
            <w:pPr>
              <w:spacing w:before="60" w:after="60" w:line="240" w:lineRule="auto"/>
            </w:pPr>
            <w:r>
              <w:rPr>
                <w:rFonts w:ascii="Arial" w:hAnsi="Arial"/>
                <w:b/>
                <w:color w:val="666666"/>
                <w:sz w:val="18"/>
              </w:rPr>
              <w:t>HR Management</w:t>
            </w:r>
          </w:p>
        </w:tc>
        <w:tc>
          <w:tcPr>
            <w:tcW w:type="dxa" w:w="4824"/>
            <w:shd w:fill="FAFAFA"/>
            <w:tcBorders>
              <w:bottom w:val="single" w:sz="4" w:color="D9D9D9"/>
            </w:tcBorders>
          </w:tcPr>
          <w:p>
            <w:pPr>
              <w:spacing w:before="60" w:after="60" w:line="240" w:lineRule="auto"/>
            </w:pPr>
            <w:r>
              <w:rPr>
                <w:rFonts w:ascii="Arial" w:hAnsi="Arial"/>
                <w:b w:val="0"/>
                <w:color w:val="111111"/>
                <w:sz w:val="18"/>
              </w:rPr>
              <w:t>Supplier Management</w:t>
            </w:r>
          </w:p>
        </w:tc>
      </w:tr>
      <w:tr>
        <w:tc>
          <w:tcPr>
            <w:tcW w:type="dxa" w:w="4824"/>
            <w:shd w:fill="FFFFFF"/>
            <w:tcBorders>
              <w:bottom w:val="single" w:sz="4" w:color="D9D9D9"/>
            </w:tcBorders>
          </w:tcPr>
          <w:p>
            <w:pPr>
              <w:spacing w:before="60" w:after="60" w:line="240" w:lineRule="auto"/>
            </w:pPr>
            <w:r>
              <w:rPr>
                <w:rFonts w:ascii="Arial" w:hAnsi="Arial"/>
                <w:b/>
                <w:color w:val="666666"/>
                <w:sz w:val="18"/>
              </w:rPr>
              <w:t>Marketing Management</w:t>
            </w:r>
          </w:p>
        </w:tc>
        <w:tc>
          <w:tcPr>
            <w:tcW w:type="dxa" w:w="4824"/>
            <w:shd w:fill="FFFFFF"/>
            <w:tcBorders>
              <w:bottom w:val="single" w:sz="4" w:color="D9D9D9"/>
            </w:tcBorders>
          </w:tcPr>
          <w:p>
            <w:pPr>
              <w:spacing w:before="60" w:after="60" w:line="240" w:lineRule="auto"/>
            </w:pPr>
            <w:r>
              <w:rPr>
                <w:rFonts w:ascii="Arial" w:hAnsi="Arial"/>
                <w:b w:val="0"/>
                <w:color w:val="111111"/>
                <w:sz w:val="18"/>
              </w:rPr>
              <w:t>Management Dashboard</w:t>
            </w:r>
          </w:p>
        </w:tc>
      </w:tr>
    </w:tbl>
    <w:p>
      <w:pPr>
        <w:spacing w:before="160" w:after="100" w:line="264" w:lineRule="auto"/>
      </w:pPr>
      <w:r>
        <w:rPr>
          <w:rFonts w:ascii="Arial" w:hAnsi="Arial"/>
          <w:b/>
          <w:color w:val="111111"/>
          <w:sz w:val="20"/>
        </w:rPr>
        <w:t>Indicative investment: RM5,000-RM10,000 per module, depending on complexity, integrations, business rules, users and automation requirements.</w:t>
      </w:r>
    </w:p>
    <w:p>
      <w:r>
        <w:br w:type="page"/>
      </w:r>
    </w:p>
    <w:p>
      <w:pPr>
        <w:spacing w:before="0" w:after="40" w:line="264" w:lineRule="auto"/>
      </w:pPr>
      <w:r>
        <w:rPr>
          <w:rFonts w:ascii="Arial" w:hAnsi="Arial"/>
          <w:b/>
          <w:color w:val="FF5A1F"/>
          <w:sz w:val="17"/>
        </w:rPr>
        <w:t>06</w:t>
      </w:r>
    </w:p>
    <w:p>
      <w:pPr>
        <w:spacing w:before="0" w:after="160" w:line="240" w:lineRule="auto"/>
      </w:pPr>
      <w:r>
        <w:rPr>
          <w:rFonts w:ascii="Arial" w:hAnsi="Arial"/>
          <w:b/>
          <w:color w:val="111111"/>
          <w:sz w:val="36"/>
        </w:rPr>
        <w:t>Commercial &amp; Decision Framework</w:t>
      </w:r>
    </w:p>
    <w:p>
      <w:pPr>
        <w:spacing w:before="0" w:after="160" w:line="240" w:lineRule="auto"/>
      </w:pPr>
      <w:r>
        <w:rPr>
          <w:rFonts w:ascii="Arial" w:hAnsi="Arial"/>
          <w:b/>
          <w:color w:val="111111"/>
          <w:sz w:val="26"/>
        </w:rPr>
        <w:t>Investment Summary</w:t>
      </w:r>
    </w:p>
    <w:tbl>
      <w:tblPr>
        <w:tblW w:type="auto" w:w="0"/>
        <w:jc w:val="center"/>
        <w:tblLook w:firstColumn="1" w:firstRow="1" w:lastColumn="0" w:lastRow="0" w:noHBand="0" w:noVBand="1" w:val="04A0"/>
      </w:tblPr>
      <w:tblGrid>
        <w:gridCol w:w="5083"/>
        <w:gridCol w:w="5083"/>
      </w:tblGrid>
      <w:tr>
        <w:tc>
          <w:tcPr>
            <w:tcW w:type="dxa" w:w="5040"/>
            <w:shd w:fill="FFFFFF"/>
            <w:tcBorders>
              <w:bottom w:val="single" w:sz="4" w:color="D9D9D9"/>
            </w:tcBorders>
          </w:tcPr>
          <w:p>
            <w:pPr>
              <w:spacing w:before="60" w:after="60" w:line="240" w:lineRule="auto"/>
            </w:pPr>
            <w:r>
              <w:rPr>
                <w:rFonts w:ascii="Arial" w:hAnsi="Arial"/>
                <w:b/>
                <w:color w:val="666666"/>
                <w:sz w:val="18"/>
              </w:rPr>
              <w:t>SME Premium Training</w:t>
            </w:r>
          </w:p>
        </w:tc>
        <w:tc>
          <w:tcPr>
            <w:tcW w:type="dxa" w:w="4608"/>
            <w:shd w:fill="FFFFFF"/>
            <w:tcBorders>
              <w:bottom w:val="single" w:sz="4" w:color="D9D9D9"/>
            </w:tcBorders>
          </w:tcPr>
          <w:p>
            <w:pPr>
              <w:spacing w:before="60" w:after="60" w:line="240" w:lineRule="auto"/>
            </w:pPr>
            <w:r>
              <w:rPr>
                <w:rFonts w:ascii="Arial" w:hAnsi="Arial"/>
                <w:b w:val="0"/>
                <w:color w:val="111111"/>
                <w:sz w:val="18"/>
              </w:rPr>
              <w:t>RM18,000</w:t>
            </w:r>
          </w:p>
        </w:tc>
      </w:tr>
      <w:tr>
        <w:tc>
          <w:tcPr>
            <w:tcW w:type="dxa" w:w="5040"/>
            <w:shd w:fill="FAFAFA"/>
            <w:tcBorders>
              <w:bottom w:val="single" w:sz="4" w:color="D9D9D9"/>
            </w:tcBorders>
          </w:tcPr>
          <w:p>
            <w:pPr>
              <w:spacing w:before="60" w:after="60" w:line="240" w:lineRule="auto"/>
            </w:pPr>
            <w:r>
              <w:rPr>
                <w:rFonts w:ascii="Arial" w:hAnsi="Arial"/>
                <w:b/>
                <w:color w:val="666666"/>
                <w:sz w:val="18"/>
              </w:rPr>
              <w:t>Training at SME premises</w:t>
            </w:r>
          </w:p>
        </w:tc>
        <w:tc>
          <w:tcPr>
            <w:tcW w:type="dxa" w:w="4608"/>
            <w:shd w:fill="FAFAFA"/>
            <w:tcBorders>
              <w:bottom w:val="single" w:sz="4" w:color="D9D9D9"/>
            </w:tcBorders>
          </w:tcPr>
          <w:p>
            <w:pPr>
              <w:spacing w:before="60" w:after="60" w:line="240" w:lineRule="auto"/>
            </w:pPr>
            <w:r>
              <w:rPr>
                <w:rFonts w:ascii="Arial" w:hAnsi="Arial"/>
                <w:b w:val="0"/>
                <w:color w:val="111111"/>
                <w:sz w:val="18"/>
              </w:rPr>
              <w:t>+RM500 logistics</w:t>
            </w:r>
          </w:p>
        </w:tc>
      </w:tr>
      <w:tr>
        <w:tc>
          <w:tcPr>
            <w:tcW w:type="dxa" w:w="5040"/>
            <w:shd w:fill="FFFFFF"/>
            <w:tcBorders>
              <w:bottom w:val="single" w:sz="4" w:color="D9D9D9"/>
            </w:tcBorders>
          </w:tcPr>
          <w:p>
            <w:pPr>
              <w:spacing w:before="60" w:after="60" w:line="240" w:lineRule="auto"/>
            </w:pPr>
            <w:r>
              <w:rPr>
                <w:rFonts w:ascii="Arial" w:hAnsi="Arial"/>
                <w:b/>
                <w:color w:val="666666"/>
                <w:sz w:val="18"/>
              </w:rPr>
              <w:t>Year 1 infrastructure</w:t>
            </w:r>
          </w:p>
        </w:tc>
        <w:tc>
          <w:tcPr>
            <w:tcW w:type="dxa" w:w="4608"/>
            <w:shd w:fill="FFFFFF"/>
            <w:tcBorders>
              <w:bottom w:val="single" w:sz="4" w:color="D9D9D9"/>
            </w:tcBorders>
          </w:tcPr>
          <w:p>
            <w:pPr>
              <w:spacing w:before="60" w:after="60" w:line="240" w:lineRule="auto"/>
            </w:pPr>
            <w:r>
              <w:rPr>
                <w:rFonts w:ascii="Arial" w:hAnsi="Arial"/>
                <w:b w:val="0"/>
                <w:color w:val="111111"/>
                <w:sz w:val="18"/>
              </w:rPr>
              <w:t>Included</w:t>
            </w:r>
          </w:p>
        </w:tc>
      </w:tr>
      <w:tr>
        <w:tc>
          <w:tcPr>
            <w:tcW w:type="dxa" w:w="5040"/>
            <w:shd w:fill="FAFAFA"/>
            <w:tcBorders>
              <w:bottom w:val="single" w:sz="4" w:color="D9D9D9"/>
            </w:tcBorders>
          </w:tcPr>
          <w:p>
            <w:pPr>
              <w:spacing w:before="60" w:after="60" w:line="240" w:lineRule="auto"/>
            </w:pPr>
            <w:r>
              <w:rPr>
                <w:rFonts w:ascii="Arial" w:hAnsi="Arial"/>
                <w:b/>
                <w:color w:val="666666"/>
                <w:sz w:val="18"/>
              </w:rPr>
              <w:t>Year 2 onwards</w:t>
            </w:r>
          </w:p>
        </w:tc>
        <w:tc>
          <w:tcPr>
            <w:tcW w:type="dxa" w:w="4608"/>
            <w:shd w:fill="FAFAFA"/>
            <w:tcBorders>
              <w:bottom w:val="single" w:sz="4" w:color="D9D9D9"/>
            </w:tcBorders>
          </w:tcPr>
          <w:p>
            <w:pPr>
              <w:spacing w:before="60" w:after="60" w:line="240" w:lineRule="auto"/>
            </w:pPr>
            <w:r>
              <w:rPr>
                <w:rFonts w:ascii="Arial" w:hAnsi="Arial"/>
                <w:b w:val="0"/>
                <w:color w:val="111111"/>
                <w:sz w:val="18"/>
              </w:rPr>
              <w:t>RM2,000 / year</w:t>
            </w:r>
          </w:p>
        </w:tc>
      </w:tr>
    </w:tbl>
    <w:p>
      <w:pPr>
        <w:spacing w:before="0" w:after="160" w:line="240" w:lineRule="auto"/>
      </w:pPr>
      <w:r>
        <w:rPr>
          <w:rFonts w:ascii="Arial" w:hAnsi="Arial"/>
          <w:b/>
          <w:color w:val="111111"/>
          <w:sz w:val="26"/>
        </w:rPr>
        <w:t>Recommended Approval</w:t>
      </w:r>
    </w:p>
    <w:p>
      <w:pPr>
        <w:spacing w:before="0" w:after="120" w:line="264" w:lineRule="auto"/>
      </w:pPr>
      <w:r>
        <w:rPr>
          <w:rFonts w:ascii="Arial" w:hAnsi="Arial"/>
          <w:b w:val="0"/>
          <w:color w:val="111111"/>
          <w:sz w:val="21"/>
        </w:rPr>
        <w:t>Management approval is requested to proceed with the 3-day SME AI Capability Programme and identify the staff member(s) who will participate in the dedicated engagement.</w:t>
      </w:r>
    </w:p>
    <w:p>
      <w:pPr>
        <w:pStyle w:val="ListNumber"/>
        <w:spacing w:before="0" w:after="60" w:line="252" w:lineRule="auto"/>
      </w:pPr>
      <w:r>
        <w:rPr>
          <w:rFonts w:ascii="Arial" w:hAnsi="Arial"/>
          <w:b w:val="0"/>
          <w:color w:val="111111"/>
          <w:sz w:val="20"/>
        </w:rPr>
        <w:t>Confirm programme participation and preferred training dates.</w:t>
      </w:r>
    </w:p>
    <w:p>
      <w:pPr>
        <w:pStyle w:val="ListNumber"/>
        <w:spacing w:before="0" w:after="60" w:line="252" w:lineRule="auto"/>
      </w:pPr>
      <w:r>
        <w:rPr>
          <w:rFonts w:ascii="Arial" w:hAnsi="Arial"/>
          <w:b w:val="0"/>
          <w:color w:val="111111"/>
          <w:sz w:val="20"/>
        </w:rPr>
        <w:t>Nominate staff with strong understanding of day-to-day business processes.</w:t>
      </w:r>
    </w:p>
    <w:p>
      <w:pPr>
        <w:pStyle w:val="ListNumber"/>
        <w:spacing w:before="0" w:after="60" w:line="252" w:lineRule="auto"/>
      </w:pPr>
      <w:r>
        <w:rPr>
          <w:rFonts w:ascii="Arial" w:hAnsi="Arial"/>
          <w:b w:val="0"/>
          <w:color w:val="111111"/>
          <w:sz w:val="20"/>
        </w:rPr>
        <w:t>Select AINNA office or SME premises as the training location.</w:t>
      </w:r>
    </w:p>
    <w:p>
      <w:pPr>
        <w:pStyle w:val="ListNumber"/>
        <w:spacing w:before="0" w:after="60" w:line="252" w:lineRule="auto"/>
      </w:pPr>
      <w:r>
        <w:rPr>
          <w:rFonts w:ascii="Arial" w:hAnsi="Arial"/>
          <w:b w:val="0"/>
          <w:color w:val="111111"/>
          <w:sz w:val="20"/>
        </w:rPr>
        <w:t>Identify the first business use case to be used during the programme.</w:t>
      </w:r>
    </w:p>
    <w:p>
      <w:pPr>
        <w:pStyle w:val="ListNumber"/>
        <w:spacing w:before="0" w:after="60" w:line="252" w:lineRule="auto"/>
      </w:pPr>
      <w:r>
        <w:rPr>
          <w:rFonts w:ascii="Arial" w:hAnsi="Arial"/>
          <w:b w:val="0"/>
          <w:color w:val="111111"/>
          <w:sz w:val="20"/>
        </w:rPr>
        <w:t>Review post-training results before approving specialised module development.</w:t>
      </w:r>
    </w:p>
    <w:p>
      <w:pPr>
        <w:spacing w:before="0" w:after="160" w:line="240" w:lineRule="auto"/>
      </w:pPr>
      <w:r>
        <w:rPr>
          <w:rFonts w:ascii="Arial" w:hAnsi="Arial"/>
          <w:b/>
          <w:color w:val="111111"/>
          <w:sz w:val="26"/>
        </w:rPr>
        <w:t>Why Approve This Programme</w:t>
      </w:r>
    </w:p>
    <w:p>
      <w:pPr>
        <w:spacing w:before="0" w:after="160" w:line="264" w:lineRule="auto"/>
      </w:pPr>
      <w:r>
        <w:rPr>
          <w:rFonts w:ascii="Arial" w:hAnsi="Arial"/>
          <w:b w:val="0"/>
          <w:color w:val="111111"/>
          <w:sz w:val="21"/>
        </w:rPr>
        <w:t>The programme creates a practical starting point for an SME to move from simply consuming AI tools to building with AI. It combines capability transfer, infrastructure and working outputs without requiring the company to establish a full internal software-development department.</w:t>
      </w:r>
    </w:p>
    <w:tbl>
      <w:tblPr>
        <w:tblW w:type="auto" w:w="0"/>
        <w:jc w:val="center"/>
        <w:tblLook w:firstColumn="1" w:firstRow="1" w:lastColumn="0" w:lastRow="0" w:noHBand="0" w:noVBand="1" w:val="04A0"/>
      </w:tblPr>
      <w:tblGrid>
        <w:gridCol w:w="10166"/>
      </w:tblGrid>
      <w:tr>
        <w:tc>
          <w:tcPr>
            <w:tcW w:type="dxa" w:w="10166"/>
            <w:shd w:fill="FFF3ED"/>
          </w:tcPr>
          <w:p>
            <w:pPr>
              <w:spacing w:before="60" w:after="40" w:line="240" w:lineRule="auto"/>
            </w:pPr>
            <w:r>
              <w:rPr>
                <w:rFonts w:ascii="Arial" w:hAnsi="Arial"/>
                <w:b/>
                <w:color w:val="FF5A1F"/>
                <w:sz w:val="22"/>
              </w:rPr>
              <w:t>FINAL PROPOSITION</w:t>
            </w:r>
          </w:p>
          <w:p>
            <w:pPr>
              <w:spacing w:before="0" w:after="80" w:line="259" w:lineRule="auto"/>
            </w:pPr>
            <w:r>
              <w:rPr>
                <w:rFonts w:ascii="Arial" w:hAnsi="Arial"/>
                <w:b w:val="0"/>
                <w:color w:val="111111"/>
                <w:sz w:val="20"/>
              </w:rPr>
              <w:t>Your team already understands the business. AINNA gives them the AI capability, infrastructure and method to build what the business needs next.</w:t>
            </w:r>
          </w:p>
        </w:tc>
      </w:tr>
    </w:tbl>
    <w:p>
      <w:pPr>
        <w:spacing w:before="0" w:after="40" w:line="264" w:lineRule="auto"/>
      </w:pPr>
      <w:r>
        <w:rPr>
          <w:rFonts w:ascii="Arial" w:hAnsi="Arial"/>
          <w:b w:val="0"/>
          <w:color w:val="111111"/>
          <w:sz w:val="21"/>
        </w:rPr>
      </w:r>
    </w:p>
    <w:p>
      <w:pPr>
        <w:spacing w:before="240" w:after="20" w:line="264" w:lineRule="auto"/>
        <w:jc w:val="center"/>
      </w:pPr>
      <w:r>
        <w:rPr>
          <w:rFonts w:ascii="Arial" w:hAnsi="Arial"/>
          <w:b/>
          <w:color w:val="FF5A1F"/>
          <w:sz w:val="30"/>
        </w:rPr>
        <w:t>Talk to AINNA</w:t>
      </w:r>
    </w:p>
    <w:p>
      <w:pPr>
        <w:spacing w:before="0" w:after="0" w:line="264" w:lineRule="auto"/>
        <w:jc w:val="center"/>
      </w:pPr>
      <w:r>
        <w:rPr>
          <w:rFonts w:ascii="Arial" w:hAnsi="Arial"/>
          <w:b/>
          <w:color w:val="666666"/>
          <w:sz w:val="19"/>
        </w:rPr>
        <w:t>AINNA SME AI Capability Programme</w:t>
      </w:r>
    </w:p>
    <w:sectPr w:rsidR="00FC693F" w:rsidRPr="0006063C" w:rsidSect="00034616">
      <w:headerReference w:type="default" r:id="rId9"/>
      <w:footerReference w:type="default" r:id="rId10"/>
      <w:pgSz w:w="12240" w:h="15840"/>
      <w:pgMar w:top="936"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b/>
        <w:color w:val="666666"/>
        <w:sz w:val="16"/>
      </w:rPr>
      <w:t>CONFIDENTIAL - EXECUTIVE PROPOSAL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b/>
        <w:color w:val="666666"/>
        <w:sz w:val="16"/>
      </w:rPr>
      <w:t>AINNA  |  SME AI CAPABILITY PROGRAMME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AINNA SME AI Capability Programme - Executive Proposal</dc:title>
  <dc:subject>Executive proposal for CEO, COO or Founder submission</dc:subject>
  <dc:creator>AINNA</dc:creator>
  <cp:keywords/>
  <dc:description>generated by python-docx</dc:description>
  <cp:lastModifiedBy/>
  <cp:revision>1</cp:revision>
  <dcterms:created xsi:type="dcterms:W3CDTF">2013-12-23T23:15:00Z</dcterms:created>
  <dcterms:modified xsi:type="dcterms:W3CDTF">2013-12-23T23:15:00Z</dcterms:modified>
  <cp:category/>
</cp:coreProperties>
</file>