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0"/>
        <w:jc w:val="center"/>
      </w:pPr>
      <w:r>
        <w:drawing>
          <wp:inline xmlns:a="http://schemas.openxmlformats.org/drawingml/2006/main" xmlns:pic="http://schemas.openxmlformats.org/drawingml/2006/picture">
            <wp:extent cx="1783080" cy="1783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7854176_122111152497323831_4591950328349246344_n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783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40" w:after="80"/>
        <w:jc w:val="center"/>
      </w:pPr>
      <w:r>
        <w:rPr>
          <w:rFonts w:ascii="Arial" w:hAnsi="Arial" w:eastAsia="Arial"/>
          <w:b/>
          <w:color w:val="D3A33B"/>
          <w:sz w:val="18"/>
        </w:rPr>
        <w:t>PROPOSED STRATEGIC COLLABORATION</w:t>
      </w:r>
    </w:p>
    <w:p>
      <w:pPr>
        <w:spacing w:after="0"/>
        <w:jc w:val="center"/>
      </w:pPr>
      <w:r>
        <w:rPr>
          <w:rFonts w:ascii="Arial" w:hAnsi="Arial" w:eastAsia="Arial"/>
          <w:b/>
          <w:color w:val="071D46"/>
          <w:sz w:val="48"/>
        </w:rPr>
        <w:t>PUNJ × AINNA</w:t>
      </w:r>
    </w:p>
    <w:p>
      <w:pPr>
        <w:spacing w:after="160"/>
        <w:jc w:val="center"/>
      </w:pPr>
      <w:r>
        <w:rPr>
          <w:rFonts w:ascii="Arial" w:hAnsi="Arial" w:eastAsia="Arial"/>
          <w:b/>
          <w:color w:val="0D3478"/>
          <w:sz w:val="46"/>
        </w:rPr>
        <w:t>SME AI CAPABILITY PROGRAMME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F6F1E9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8" w:color="D3A33B"/>
              <w:bottom w:val="single" w:sz="8" w:color="D3A33B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71D46"/>
                <w:sz w:val="38"/>
              </w:rPr>
              <w:t>11</w:t>
              <w:br/>
            </w:r>
            <w:r>
              <w:rPr>
                <w:rFonts w:ascii="Arial" w:hAnsi="Arial" w:eastAsia="Arial"/>
                <w:b/>
                <w:color w:val="4B5563"/>
                <w:sz w:val="14"/>
              </w:rPr>
              <w:t>TRAINING DAYS</w:t>
            </w:r>
          </w:p>
        </w:tc>
        <w:tc>
          <w:tcPr>
            <w:tcW w:type="dxa" w:w="3389"/>
            <w:shd w:fill="F6F1E9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8" w:color="D3A33B"/>
              <w:bottom w:val="single" w:sz="8" w:color="D3A33B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71D46"/>
                <w:sz w:val="38"/>
              </w:rPr>
              <w:t>4</w:t>
              <w:br/>
            </w:r>
            <w:r>
              <w:rPr>
                <w:rFonts w:ascii="Arial" w:hAnsi="Arial" w:eastAsia="Arial"/>
                <w:b/>
                <w:color w:val="4B5563"/>
                <w:sz w:val="14"/>
              </w:rPr>
              <w:t>PRACTICAL MODULES</w:t>
            </w:r>
          </w:p>
        </w:tc>
        <w:tc>
          <w:tcPr>
            <w:tcW w:type="dxa" w:w="3389"/>
            <w:shd w:fill="F6F1E9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8" w:color="D3A33B"/>
              <w:bottom w:val="single" w:sz="8" w:color="D3A33B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71D46"/>
                <w:sz w:val="38"/>
              </w:rPr>
              <w:t>1</w:t>
              <w:br/>
            </w:r>
            <w:r>
              <w:rPr>
                <w:rFonts w:ascii="Arial" w:hAnsi="Arial" w:eastAsia="Arial"/>
                <w:b/>
                <w:color w:val="4B5563"/>
                <w:sz w:val="14"/>
              </w:rPr>
              <w:t>WORKING BUSINESS SYSTEM</w:t>
            </w:r>
          </w:p>
        </w:tc>
      </w:tr>
    </w:tbl>
    <w:p>
      <w:pPr>
        <w:spacing w:before="440" w:after="60"/>
        <w:jc w:val="center"/>
      </w:pPr>
      <w:r>
        <w:rPr>
          <w:rFonts w:ascii="Arial" w:hAnsi="Arial" w:eastAsia="Arial"/>
          <w:b/>
          <w:color w:val="071D46"/>
          <w:sz w:val="26"/>
        </w:rPr>
        <w:t>NOT JUST AI TRAINING.</w:t>
      </w:r>
    </w:p>
    <w:p>
      <w:pPr>
        <w:jc w:val="center"/>
      </w:pPr>
      <w:r>
        <w:rPr>
          <w:rFonts w:ascii="Arial" w:hAnsi="Arial" w:eastAsia="Arial"/>
          <w:b/>
          <w:color w:val="D3A33B"/>
          <w:sz w:val="30"/>
        </w:rPr>
        <w:t>Every SME Builds a Working Business System.</w:t>
      </w:r>
    </w:p>
    <w:p>
      <w:pPr>
        <w:spacing w:before="100"/>
        <w:jc w:val="center"/>
      </w:pPr>
      <w:r>
        <w:rPr>
          <w:rFonts w:ascii="Arial" w:hAnsi="Arial" w:eastAsia="Arial"/>
          <w:i/>
          <w:color w:val="4B5563"/>
          <w:sz w:val="20"/>
        </w:rPr>
        <w:t>Not Just a Website. Build the Capability Behind It.</w:t>
      </w:r>
    </w:p>
    <w:p>
      <w:pPr>
        <w:spacing w:before="700"/>
        <w:jc w:val="center"/>
      </w:pPr>
      <w:r>
        <w:rPr>
          <w:rFonts w:ascii="Arial" w:hAnsi="Arial" w:eastAsia="Arial"/>
          <w:color w:val="4B5563"/>
          <w:sz w:val="18"/>
        </w:rPr>
        <w:t>Prepared by AINNA</w:t>
        <w:br/>
        <w:t>For Pertubuhan Usahawan Nusantara Johor (PUNJ)</w:t>
        <w:br/>
        <w:t>September 2026</w:t>
      </w:r>
    </w:p>
    <w:p>
      <w:pPr>
        <w:spacing w:before="360"/>
        <w:jc w:val="center"/>
      </w:pPr>
      <w:r>
        <w:rPr>
          <w:rFonts w:ascii="Arial" w:hAnsi="Arial" w:eastAsia="Arial"/>
          <w:b/>
          <w:color w:val="D3A33B"/>
          <w:sz w:val="15"/>
        </w:rPr>
        <w:t>CONFIDENTIAL — FOR DISCUSSION AND SUBMISSION</w:t>
      </w:r>
    </w:p>
    <w:p>
      <w:r>
        <w:br w:type="page"/>
      </w:r>
    </w:p>
    <w:p>
      <w:pPr>
        <w:pStyle w:val="SmallCapsLabel"/>
      </w:pPr>
      <w:r>
        <w:t>PROGRAMME PROPOSITION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1. Executive Summary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p>
      <w:r>
        <w:rPr>
          <w:rFonts w:ascii="Arial" w:hAnsi="Arial" w:eastAsia="Arial"/>
          <w:b/>
          <w:color w:val="071D46"/>
          <w:sz w:val="20"/>
        </w:rPr>
        <w:t xml:space="preserve">AINNA proposes an 11-day, four-module SME AI Capability Programme for selected PUNJ entrepreneurs. </w:t>
      </w:r>
      <w:r>
        <w:rPr>
          <w:rFonts w:ascii="Arial" w:hAnsi="Arial" w:eastAsia="Arial"/>
          <w:color w:val="111827"/>
          <w:sz w:val="20"/>
        </w:rPr>
        <w:t>The programme is designed as a practical business-execution initiative: participants use AINNA Agent to turn real business requirements into working digital assets and systems, rather than attending an AI-awareness course that ends with demonstrations only.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shd w:fill="F6F1E9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7" w:color="D3A33B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71D46"/>
                <w:sz w:val="36"/>
              </w:rPr>
              <w:t>11</w:t>
              <w:br/>
            </w:r>
            <w:r>
              <w:rPr>
                <w:rFonts w:ascii="Arial" w:hAnsi="Arial" w:eastAsia="Arial"/>
                <w:b/>
                <w:color w:val="4B5563"/>
                <w:sz w:val="14"/>
              </w:rPr>
              <w:t>TRAINING DAYS</w:t>
            </w:r>
          </w:p>
        </w:tc>
        <w:tc>
          <w:tcPr>
            <w:tcW w:type="dxa" w:w="2541"/>
            <w:shd w:fill="F6F1E9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7" w:color="D3A33B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71D46"/>
                <w:sz w:val="36"/>
              </w:rPr>
              <w:t>4</w:t>
              <w:br/>
            </w:r>
            <w:r>
              <w:rPr>
                <w:rFonts w:ascii="Arial" w:hAnsi="Arial" w:eastAsia="Arial"/>
                <w:b/>
                <w:color w:val="4B5563"/>
                <w:sz w:val="14"/>
              </w:rPr>
              <w:t>PRACTICAL MODULES</w:t>
            </w:r>
          </w:p>
        </w:tc>
        <w:tc>
          <w:tcPr>
            <w:tcW w:type="dxa" w:w="2541"/>
            <w:shd w:fill="F6F1E9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7" w:color="D3A33B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71D46"/>
                <w:sz w:val="36"/>
              </w:rPr>
              <w:t>1</w:t>
              <w:br/>
            </w:r>
            <w:r>
              <w:rPr>
                <w:rFonts w:ascii="Arial" w:hAnsi="Arial" w:eastAsia="Arial"/>
                <w:b/>
                <w:color w:val="4B5563"/>
                <w:sz w:val="14"/>
              </w:rPr>
              <w:t>WORKING SYSTEM PER SME</w:t>
            </w:r>
          </w:p>
        </w:tc>
        <w:tc>
          <w:tcPr>
            <w:tcW w:type="dxa" w:w="2541"/>
            <w:shd w:fill="F6F1E9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7" w:color="D3A33B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71D46"/>
                <w:sz w:val="36"/>
              </w:rPr>
              <w:t>90</w:t>
              <w:br/>
            </w:r>
            <w:r>
              <w:rPr>
                <w:rFonts w:ascii="Arial" w:hAnsi="Arial" w:eastAsia="Arial"/>
                <w:b/>
                <w:color w:val="4B5563"/>
                <w:sz w:val="14"/>
              </w:rPr>
              <w:t>DAY ADOPTION ROADMAP</w:t>
            </w:r>
          </w:p>
        </w:tc>
      </w:tr>
    </w:tbl>
    <w:p>
      <w:pPr>
        <w:spacing w:before="160"/>
      </w:pPr>
      <w:r>
        <w:rPr>
          <w:rFonts w:ascii="Arial" w:hAnsi="Arial" w:eastAsia="Arial"/>
          <w:b/>
          <w:color w:val="071D46"/>
          <w:sz w:val="19"/>
        </w:rPr>
        <w:t xml:space="preserve">Core proposition: </w:t>
      </w:r>
      <w:r>
        <w:rPr>
          <w:rFonts w:ascii="Arial" w:hAnsi="Arial" w:eastAsia="Arial"/>
          <w:color w:val="111827"/>
          <w:sz w:val="19"/>
        </w:rPr>
        <w:t>each participating SME learns a repeatable method to plan, build, test, deploy, operate and improve its own digital solution with AI-assisted technical execution.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AINNA Agent environment for guided AI-assisted system development.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Working corporate website or equivalent digital business asset.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Practical e-commerce or business application aligned to the SME use case.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Management dashboard covering relevant sales, orders, inventory and basic finance visibility.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Digital audit, improvement plan and 90-day adoption roadmap.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Deployment foundation with server/VPS, database, backup and basic security configuration under the agreed programme scope.</w:t>
      </w:r>
    </w:p>
    <w:p>
      <w:pPr>
        <w:pStyle w:val="SmallCapsLabel"/>
      </w:pPr>
      <w:r>
        <w:t>FROM TOOL USAGE TO BUSINESS CAPABILITY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2. Why This Programme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p>
      <w:r>
        <w:rPr>
          <w:rFonts w:ascii="Arial" w:hAnsi="Arial" w:eastAsia="Arial"/>
          <w:b/>
          <w:color w:val="071D46"/>
          <w:sz w:val="20"/>
        </w:rPr>
        <w:t xml:space="preserve">The capability gap is not simply access to AI tools. </w:t>
      </w:r>
      <w:r>
        <w:rPr>
          <w:rFonts w:ascii="Arial" w:hAnsi="Arial" w:eastAsia="Arial"/>
          <w:color w:val="111827"/>
          <w:sz w:val="20"/>
        </w:rPr>
        <w:t>SMEs already understand their customers, products, operations and pain points. The missing layer is often the technical execution capacity to convert that knowledge into useful software, automation and digital workflows.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TRADITIONAL AI TRAINING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Focuses on prompts, content generation and tool demonstrations. Business output may stop when the class ends.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AINNA CAPABILITY MODEL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Uses the SME’s own business requirements to build deployable assets and a working method the team can continue using.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SME = DOMAIN EXPERT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The entrepreneur or staff member contributes the actual business logic, constraints, workflow and validation.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AINNA AGENT = TECHNICAL PARTNER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The Agent assists with planning, coding, database design, testing, deployment, analysis and iterative improvement.</w:t>
            </w:r>
          </w:p>
        </w:tc>
      </w:tr>
    </w:tbl>
    <w:p>
      <w:pPr>
        <w:spacing w:before="180"/>
        <w:jc w:val="center"/>
      </w:pPr>
      <w:r>
        <w:rPr>
          <w:rFonts w:ascii="Arial" w:hAnsi="Arial" w:eastAsia="Arial"/>
          <w:b/>
          <w:color w:val="D3A33B"/>
          <w:sz w:val="20"/>
        </w:rPr>
        <w:t>LEARN  →  PLAN  →  BUILD  →  TEST  →  DEPLOY  →  OPERATE  →  IMPROVE</w:t>
      </w:r>
    </w:p>
    <w:p>
      <w:pPr>
        <w:pStyle w:val="SmallCapsLabel"/>
      </w:pPr>
      <w:r>
        <w:t>PUNJ × AINNA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3. Proposed Collaboration Model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PUNJ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Participant coordination, entrepreneur engagement, programme communication, venue/logistics coordination and cohort liaison.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AINNA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AINNA Agent environment, trainers, technical methodology, build support, deployment environment, testing standards and implementation guidance.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PARTICIPATING SMES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Provide real business information, define the operational problem, validate the workflow, build with guidance and adopt the system after training.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PROGRAMME PRINCIPLE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Use AI where judgement or generation is needed; use normal software, rules and deterministic automation where repeatable execution is enough.</w:t>
            </w:r>
          </w:p>
        </w:tc>
      </w:tr>
    </w:tbl>
    <w:p>
      <w:r>
        <w:rPr>
          <w:rFonts w:ascii="Arial" w:hAnsi="Arial" w:eastAsia="Arial"/>
          <w:b/>
          <w:color w:val="071D46"/>
          <w:sz w:val="19"/>
        </w:rPr>
        <w:t xml:space="preserve">Positioning: </w:t>
      </w:r>
      <w:r>
        <w:rPr>
          <w:rFonts w:ascii="Arial" w:hAnsi="Arial" w:eastAsia="Arial"/>
          <w:color w:val="111827"/>
          <w:sz w:val="19"/>
        </w:rPr>
        <w:t>PUNJ strengthens entrepreneur participation and ecosystem reach; AINNA provides the AI-assisted technical capability layer that converts business needs into working digital systems.</w:t>
      </w:r>
    </w:p>
    <w:p>
      <w:pPr>
        <w:pStyle w:val="SmallCapsLabel"/>
      </w:pPr>
      <w:r>
        <w:t>EVERY MODULE PRODUCES A USABLE OUTPUT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4. Programme Structure — 11-Day Practical Build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152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MODULE</w:t>
            </w:r>
          </w:p>
        </w:tc>
        <w:tc>
          <w:tcPr>
            <w:tcW w:type="dxa" w:w="3240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FOCUS</w:t>
            </w:r>
          </w:p>
        </w:tc>
        <w:tc>
          <w:tcPr>
            <w:tcW w:type="dxa" w:w="1224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DAYS</w:t>
            </w:r>
          </w:p>
        </w:tc>
        <w:tc>
          <w:tcPr>
            <w:tcW w:type="dxa" w:w="4464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PRACTICAL OUTPUT</w:t>
            </w:r>
          </w:p>
        </w:tc>
      </w:tr>
      <w:tr>
        <w:tc>
          <w:tcPr>
            <w:tcW w:type="dxa" w:w="1152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D3A33B"/>
                <w:sz w:val="17"/>
              </w:rPr>
              <w:t>01</w:t>
            </w:r>
          </w:p>
        </w:tc>
        <w:tc>
          <w:tcPr>
            <w:tcW w:type="dxa" w:w="3240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AI Agent, Website &amp; Cloud</w:t>
            </w:r>
          </w:p>
        </w:tc>
        <w:tc>
          <w:tcPr>
            <w:tcW w:type="dxa" w:w="122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44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AINNA Agent workspace + deployed business website / digital presence</w:t>
            </w:r>
          </w:p>
        </w:tc>
      </w:tr>
      <w:tr>
        <w:tc>
          <w:tcPr>
            <w:tcW w:type="dxa" w:w="1152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D3A33B"/>
                <w:sz w:val="17"/>
              </w:rPr>
              <w:t>02</w:t>
            </w:r>
          </w:p>
        </w:tc>
        <w:tc>
          <w:tcPr>
            <w:tcW w:type="dxa" w:w="3240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E-Commerce &amp; Business Application</w:t>
            </w:r>
          </w:p>
        </w:tc>
        <w:tc>
          <w:tcPr>
            <w:tcW w:type="dxa" w:w="1224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4464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Working product catalogue, cart, checkout, order/customer flow and business application</w:t>
            </w:r>
          </w:p>
        </w:tc>
      </w:tr>
      <w:tr>
        <w:tc>
          <w:tcPr>
            <w:tcW w:type="dxa" w:w="1152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D3A33B"/>
                <w:sz w:val="17"/>
              </w:rPr>
              <w:t>03</w:t>
            </w:r>
          </w:p>
        </w:tc>
        <w:tc>
          <w:tcPr>
            <w:tcW w:type="dxa" w:w="3240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AI Business &amp; Digital Audit</w:t>
            </w:r>
          </w:p>
        </w:tc>
        <w:tc>
          <w:tcPr>
            <w:tcW w:type="dxa" w:w="122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1</w:t>
            </w:r>
          </w:p>
        </w:tc>
        <w:tc>
          <w:tcPr>
            <w:tcW w:type="dxa" w:w="44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Structured digital audit + prioritised improvement plan</w:t>
            </w:r>
          </w:p>
        </w:tc>
      </w:tr>
      <w:tr>
        <w:tc>
          <w:tcPr>
            <w:tcW w:type="dxa" w:w="1152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D3A33B"/>
                <w:sz w:val="17"/>
              </w:rPr>
              <w:t>04</w:t>
            </w:r>
          </w:p>
        </w:tc>
        <w:tc>
          <w:tcPr>
            <w:tcW w:type="dxa" w:w="3240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AI Business Management, Integration &amp; Demo</w:t>
            </w:r>
          </w:p>
        </w:tc>
        <w:tc>
          <w:tcPr>
            <w:tcW w:type="dxa" w:w="1224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4</w:t>
            </w:r>
          </w:p>
        </w:tc>
        <w:tc>
          <w:tcPr>
            <w:tcW w:type="dxa" w:w="4464"/>
            <w:tcMar>
              <w:top w:w="80" w:type="dxa"/>
              <w:start w:w="80" w:type="dxa"/>
              <w:bottom w:w="80" w:type="dxa"/>
              <w:end w:w="80" w:type="dxa"/>
            </w:tcMar>
            <w:shd w:fill="F8FAFC"/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7"/>
              </w:rPr>
              <w:t>Integrated management dashboard + AI business brief + tested working system + roadmap</w:t>
            </w:r>
          </w:p>
        </w:tc>
      </w:tr>
    </w:tbl>
    <w:p>
      <w:pPr>
        <w:spacing w:before="140"/>
      </w:pPr>
      <w:r>
        <w:rPr>
          <w:rFonts w:ascii="Arial" w:hAnsi="Arial" w:eastAsia="Arial"/>
          <w:b/>
          <w:color w:val="071D46"/>
          <w:sz w:val="18"/>
        </w:rPr>
        <w:t xml:space="preserve">Delivery format: </w:t>
      </w:r>
      <w:r>
        <w:rPr>
          <w:rFonts w:ascii="Arial" w:hAnsi="Arial" w:eastAsia="Arial"/>
          <w:color w:val="111827"/>
          <w:sz w:val="18"/>
        </w:rPr>
        <w:t>hands-on guided implementation using the participant’s actual company profile, product/service data and selected workflow. The 11 training days may be scheduled in blocks to allow preparation, testing and business operations between modules.</w:t>
      </w:r>
    </w:p>
    <w:p>
      <w:pPr>
        <w:pStyle w:val="Heading2"/>
      </w:pPr>
      <w:r>
        <w:t>Module 1 — AI Agent, Website &amp; Cloud | 3 Days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AINNA Agent fundamentals and task decomposition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Business requirement and workflow mapping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Corporate website / digital presence build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Cloud/VPS, deployment and basic environment setup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Testing, content refinement and live deployment readiness</w:t>
      </w:r>
    </w:p>
    <w:p>
      <w:r>
        <w:rPr>
          <w:rFonts w:ascii="Arial" w:hAnsi="Arial" w:eastAsia="Arial"/>
          <w:b/>
          <w:color w:val="D3A33B"/>
          <w:sz w:val="18"/>
        </w:rPr>
        <w:t xml:space="preserve">Output: </w:t>
      </w:r>
      <w:r>
        <w:rPr>
          <w:rFonts w:ascii="Arial" w:hAnsi="Arial" w:eastAsia="Arial"/>
          <w:b/>
          <w:color w:val="071D46"/>
          <w:sz w:val="18"/>
        </w:rPr>
        <w:t>Agent environment + deployed digital asset.</w:t>
      </w:r>
    </w:p>
    <w:p>
      <w:pPr>
        <w:pStyle w:val="Heading2"/>
      </w:pPr>
      <w:r>
        <w:t>Module 2 — E-Commerce &amp; Business Application | 3 Days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Product/service catalogue and product detail flow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Shopping cart, quantity, subtotal and checkout logic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Customer/order records and simple order management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Payment gateway demonstration using sandbox/demo flow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EasyParcel-style shipping-rate and shipment workflow demonstration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Application validation, error handling and basic business rules</w:t>
      </w:r>
    </w:p>
    <w:p>
      <w:r>
        <w:rPr>
          <w:rFonts w:ascii="Arial" w:hAnsi="Arial" w:eastAsia="Arial"/>
          <w:b/>
          <w:color w:val="D3A33B"/>
          <w:sz w:val="18"/>
        </w:rPr>
        <w:t xml:space="preserve">Output: </w:t>
      </w:r>
      <w:r>
        <w:rPr>
          <w:rFonts w:ascii="Arial" w:hAnsi="Arial" w:eastAsia="Arial"/>
          <w:b/>
          <w:color w:val="071D46"/>
          <w:sz w:val="18"/>
        </w:rPr>
        <w:t>Working e-commerce / business application.</w:t>
      </w:r>
    </w:p>
    <w:p>
      <w:pPr>
        <w:pStyle w:val="Heading2"/>
      </w:pPr>
      <w:r>
        <w:t>Module 3 — AI Business &amp; Digital Audit | 1 Day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Website and content review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SEO readiness and usability review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Performance and workflow inspection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Digital gaps, business risks and improvement priorities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AI-assisted audit summary with human validation</w:t>
      </w:r>
    </w:p>
    <w:p>
      <w:r>
        <w:rPr>
          <w:rFonts w:ascii="Arial" w:hAnsi="Arial" w:eastAsia="Arial"/>
          <w:b/>
          <w:color w:val="D3A33B"/>
          <w:sz w:val="18"/>
        </w:rPr>
        <w:t xml:space="preserve">Output: </w:t>
      </w:r>
      <w:r>
        <w:rPr>
          <w:rFonts w:ascii="Arial" w:hAnsi="Arial" w:eastAsia="Arial"/>
          <w:b/>
          <w:color w:val="071D46"/>
          <w:sz w:val="18"/>
        </w:rPr>
        <w:t>Structured audit + prioritised improvement plan.</w:t>
      </w:r>
    </w:p>
    <w:p>
      <w:r>
        <w:br w:type="page"/>
      </w:r>
    </w:p>
    <w:p>
      <w:pPr>
        <w:pStyle w:val="Heading2"/>
      </w:pPr>
      <w:r>
        <w:t>Module 4 — AI Business Management, Integration &amp; Demo | 4 Days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Sales, order and customer visibility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Inventory / low-stock monitoring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Basic finance and management visibility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CRM and follow-up workflow where relevant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AI-assisted management brief and anomaly/pattern interpretation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System integration, regression testing and deployment checks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Final SME demonstration and 90-day continuation roadmap</w:t>
      </w:r>
    </w:p>
    <w:p>
      <w:r>
        <w:rPr>
          <w:rFonts w:ascii="Arial" w:hAnsi="Arial" w:eastAsia="Arial"/>
          <w:b/>
          <w:color w:val="D3A33B"/>
          <w:sz w:val="18"/>
        </w:rPr>
        <w:t xml:space="preserve">Output: </w:t>
      </w:r>
      <w:r>
        <w:rPr>
          <w:rFonts w:ascii="Arial" w:hAnsi="Arial" w:eastAsia="Arial"/>
          <w:b/>
          <w:color w:val="071D46"/>
          <w:sz w:val="18"/>
        </w:rPr>
        <w:t>Integrated business system + management dashboard + AI brief + adoption roadmap.</w:t>
      </w:r>
    </w:p>
    <w:p>
      <w:pPr>
        <w:pStyle w:val="SmallCapsLabel"/>
      </w:pPr>
      <w:r>
        <w:t>TANGIBLE DELIVERABLES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5. What Each Participating SME Receives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AINNA AGENT AI ENVIRONMENT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A dedicated environment to plan, build, review, improve and automate selected business tasks.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WORKING BUSINESS WEBSITE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A responsive website or equivalent digital asset using the SME’s actual brand, product and business information.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BUSINESS APPLICATION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A practical application such as catalogue, cart/order flow, enquiry, CRM or another suitable workflow.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MANAGEMENT DASHBOARD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Baseline visibility for relevant sales, orders, inventory, customers and basic finance indicators.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DIGITAL AUDIT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Structured review of website quality, content, SEO readiness, performance and workflow improvement priorities.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DEPLOYMENT FOUNDATION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Server/VPS, application, database, backup and basic security foundation under the agreed configuration.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WORKING FILES &amp; WORKSPACE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Organised project workspace, configuration and working files for continued development.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90-DAY ADOPTION ROADMAP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A practical post-training plan to continue using, measuring and improving the system.</w:t>
            </w:r>
          </w:p>
        </w:tc>
      </w:tr>
    </w:tbl>
    <w:p>
      <w:pPr>
        <w:pStyle w:val="SmallCapsLabel"/>
      </w:pPr>
      <w:r>
        <w:t>PRACTICAL CAPABILITY EXAMPLE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6. Live E-Commerce &amp; Integration Demonstration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p>
      <w:r>
        <w:rPr>
          <w:rFonts w:ascii="Arial" w:hAnsi="Arial" w:eastAsia="Arial"/>
          <w:color w:val="111827"/>
          <w:sz w:val="19"/>
        </w:rPr>
        <w:t xml:space="preserve">The programme website and training environment include a controlled e-commerce demonstration so decision-makers and participants can see the complete customer-to-operations flow. </w:t>
      </w:r>
      <w:r>
        <w:rPr>
          <w:rFonts w:ascii="Arial" w:hAnsi="Arial" w:eastAsia="Arial"/>
          <w:b/>
          <w:color w:val="071D46"/>
          <w:sz w:val="19"/>
        </w:rPr>
        <w:t>This is a capability demonstration, not a claim that every SME must use the same commerce stack.</w:t>
      </w:r>
    </w:p>
    <w:p>
      <w:pPr>
        <w:jc w:val="center"/>
      </w:pPr>
      <w:r>
        <w:rPr>
          <w:rFonts w:ascii="Arial" w:hAnsi="Arial" w:eastAsia="Arial"/>
          <w:b/>
          <w:color w:val="D3A33B"/>
          <w:sz w:val="19"/>
        </w:rPr>
        <w:t>CATALOGUE → PRODUCT → CART → CHECKOUT → SHIPPING → PAYMENT DEMO → ORDER → DASHBOARD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CART &amp; CHECKOUT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Product selection, quantity, subtotal, customer details, address validation and order summary.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STRIPE EXAMPLE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Sandbox/demo payment journey only. No real card data or live charging is required for the training demonstration.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EASYPARCEL EXAMPLE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Shipping-rate and courier-selection demonstration. Live API connection requires agreed credentials and third-party configuration.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ORDER MANAGEMENT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Order received, payment status, packing, shipment, tracking and completion status demonstrated in the management flow.</w:t>
            </w:r>
          </w:p>
        </w:tc>
      </w:tr>
    </w:tbl>
    <w:p>
      <w:r>
        <w:rPr>
          <w:rFonts w:ascii="Arial" w:hAnsi="Arial" w:eastAsia="Arial"/>
          <w:b/>
          <w:color w:val="071D46"/>
          <w:sz w:val="17"/>
        </w:rPr>
        <w:t xml:space="preserve">Important scoping note: </w:t>
      </w:r>
      <w:r>
        <w:rPr>
          <w:rFonts w:ascii="Arial" w:hAnsi="Arial" w:eastAsia="Arial"/>
          <w:color w:val="4B5563"/>
          <w:sz w:val="17"/>
        </w:rPr>
        <w:t>live payment gateway charges, EasyParcel charges, external subscriptions, production credentials and specialist integrations are not assumed to be included unless stated in the final commercial scope.</w:t>
      </w:r>
    </w:p>
    <w:p>
      <w:pPr>
        <w:pStyle w:val="SmallCapsLabel"/>
      </w:pPr>
      <w:r>
        <w:t>MODULAR BY BUSINESS NEED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7. Systems SMEs Can Build or Upgrade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DIGITAL PRESENCE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Corporate website • product/service catalogue • lead/enquiry capture • SEO-ready content structure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SALES &amp; CUSTOMER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Customer/order records • quotation/invoice workflow where scoped • follow-up • simple CRM visibility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COMMERCE &amp; ORDERS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Catalogue • cart/order request • checkout/payment sandbox • shipping workflow • order status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INVENTORY &amp; OPERATIONS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Stock dashboard • low-stock alerts • reorder reminders • operational status board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FINANCE VISIBILITY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Order/sales records • basic cash-flow visibility • management summary • export-ready structured records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AI &amp; AUTOMATION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Business analysis • content/marketing assistance • audit suggestions • selected repetitive-task automation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PRODUCTION &amp; FULFILMENT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Order versus stock • material requirements • production status • fulfilment prioritisation where relevant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CUSTOM APPLICATION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A focused internal workflow or dashboard based on a clearly defined SME problem and available data.</w:t>
            </w:r>
          </w:p>
        </w:tc>
      </w:tr>
    </w:tbl>
    <w:p>
      <w:pPr>
        <w:pStyle w:val="SmallCapsLabel"/>
      </w:pPr>
      <w:r>
        <w:t>PRACTICAL, CONTROLLED, MAINTAINABLE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8. Infrastructure &amp; Technical Principles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AINNA Agent development environment for planning, coding, debugging, review and guided improvement.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Cloud/VPS hosting structure for programme builds and deployment under the agreed configuration.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Application and database foundation appropriate to the selected SME use case.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Basic backup and security configuration with access boundaries defined during deployment.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AI model routing selected for practical development quality, speed and cost efficiency.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Deterministic business rules and normal software are preferred for repeatable transactions; LLM usage is reserved for tasks that genuinely require language or judgement.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Infrastructure period, capacity and support boundaries are to be confirmed in the final commercial scope.</w:t>
      </w:r>
    </w:p>
    <w:p>
      <w:r>
        <w:rPr>
          <w:rFonts w:ascii="Arial" w:hAnsi="Arial" w:eastAsia="Arial"/>
          <w:b/>
          <w:color w:val="D3A33B"/>
          <w:sz w:val="19"/>
        </w:rPr>
        <w:t xml:space="preserve">Architecture principle: </w:t>
      </w:r>
      <w:r>
        <w:rPr>
          <w:rFonts w:ascii="Arial" w:hAnsi="Arial" w:eastAsia="Arial"/>
          <w:b/>
          <w:color w:val="071D46"/>
          <w:sz w:val="19"/>
        </w:rPr>
        <w:t>Use AI where intelligence is needed. Use normal software where deterministic execution is enough.</w:t>
      </w:r>
    </w:p>
    <w:p>
      <w:pPr>
        <w:pStyle w:val="SmallCapsLabel"/>
      </w:pPr>
      <w:r>
        <w:t>MEASURE WORKING ADOPTION, NOT ATTENDANCE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9. KPI &amp; Measurable Outcomes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71D46"/>
            <w:tcMar>
              <w:top w:w="75" w:type="dxa"/>
              <w:start w:w="70" w:type="dxa"/>
              <w:bottom w:w="75" w:type="dxa"/>
              <w:end w:w="7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KPI</w:t>
            </w:r>
          </w:p>
        </w:tc>
        <w:tc>
          <w:tcPr>
            <w:tcW w:type="dxa" w:w="3389"/>
            <w:shd w:fill="071D46"/>
            <w:tcMar>
              <w:top w:w="75" w:type="dxa"/>
              <w:start w:w="70" w:type="dxa"/>
              <w:bottom w:w="75" w:type="dxa"/>
              <w:end w:w="7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PROPOSED MEASURE</w:t>
            </w:r>
          </w:p>
        </w:tc>
        <w:tc>
          <w:tcPr>
            <w:tcW w:type="dxa" w:w="3389"/>
            <w:shd w:fill="071D46"/>
            <w:tcMar>
              <w:top w:w="75" w:type="dxa"/>
              <w:start w:w="70" w:type="dxa"/>
              <w:bottom w:w="75" w:type="dxa"/>
              <w:end w:w="7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5"/>
              </w:rPr>
              <w:t>Onboarding</w:t>
            </w:r>
          </w:p>
        </w:tc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Selected SMEs complete business profile and use-case definition.</w:t>
            </w:r>
          </w:p>
        </w:tc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Programme record</w:t>
            </w:r>
          </w:p>
        </w:tc>
      </w:tr>
      <w:tr>
        <w:tc>
          <w:tcPr>
            <w:tcW w:type="dxa" w:w="3389"/>
            <w:shd w:fill="F8FAFC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5"/>
              </w:rPr>
              <w:t>Agent Activation</w:t>
            </w:r>
          </w:p>
        </w:tc>
        <w:tc>
          <w:tcPr>
            <w:tcW w:type="dxa" w:w="3389"/>
            <w:shd w:fill="F8FAFC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Participants actively use the AINNA Agent environment.</w:t>
            </w:r>
          </w:p>
        </w:tc>
        <w:tc>
          <w:tcPr>
            <w:tcW w:type="dxa" w:w="3389"/>
            <w:shd w:fill="F8FAFC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Workspace activity / completion record</w:t>
            </w:r>
          </w:p>
        </w:tc>
      </w:tr>
      <w:tr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5"/>
              </w:rPr>
              <w:t>Working Output</w:t>
            </w:r>
          </w:p>
        </w:tc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Each SME builds or materially upgrades at least one usable digital asset/system.</w:t>
            </w:r>
          </w:p>
        </w:tc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Demo + deployed artefact</w:t>
            </w:r>
          </w:p>
        </w:tc>
      </w:tr>
      <w:tr>
        <w:tc>
          <w:tcPr>
            <w:tcW w:type="dxa" w:w="3389"/>
            <w:shd w:fill="F8FAFC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5"/>
              </w:rPr>
              <w:t>Management Visibility</w:t>
            </w:r>
          </w:p>
        </w:tc>
        <w:tc>
          <w:tcPr>
            <w:tcW w:type="dxa" w:w="3389"/>
            <w:shd w:fill="F8FAFC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Relevant dashboard / structured business data is available.</w:t>
            </w:r>
          </w:p>
        </w:tc>
        <w:tc>
          <w:tcPr>
            <w:tcW w:type="dxa" w:w="3389"/>
            <w:shd w:fill="F8FAFC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Dashboard demonstration</w:t>
            </w:r>
          </w:p>
        </w:tc>
      </w:tr>
      <w:tr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5"/>
              </w:rPr>
              <w:t>Automation</w:t>
            </w:r>
          </w:p>
        </w:tc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At least one selected workflow is improved using rules, software or AI where appropriate.</w:t>
            </w:r>
          </w:p>
        </w:tc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Workflow demonstration</w:t>
            </w:r>
          </w:p>
        </w:tc>
      </w:tr>
      <w:tr>
        <w:tc>
          <w:tcPr>
            <w:tcW w:type="dxa" w:w="3389"/>
            <w:shd w:fill="F8FAFC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5"/>
              </w:rPr>
              <w:t>Adoption</w:t>
            </w:r>
          </w:p>
        </w:tc>
        <w:tc>
          <w:tcPr>
            <w:tcW w:type="dxa" w:w="3389"/>
            <w:shd w:fill="F8FAFC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Continued use reviewed after training.</w:t>
            </w:r>
          </w:p>
        </w:tc>
        <w:tc>
          <w:tcPr>
            <w:tcW w:type="dxa" w:w="3389"/>
            <w:shd w:fill="F8FAFC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30/60/90-day follow-up</w:t>
            </w:r>
          </w:p>
        </w:tc>
      </w:tr>
      <w:tr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5"/>
              </w:rPr>
              <w:t>Business Impact</w:t>
            </w:r>
          </w:p>
        </w:tc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Outcome measures agreed before rollout.</w:t>
            </w:r>
          </w:p>
        </w:tc>
        <w:tc>
          <w:tcPr>
            <w:tcW w:type="dxa" w:w="3389"/>
            <w:shd w:fill="FFFFFF"/>
            <w:tcMar>
              <w:top w:w="48" w:type="dxa"/>
              <w:start w:w="70" w:type="dxa"/>
              <w:bottom w:w="48" w:type="dxa"/>
              <w:end w:w="70" w:type="dxa"/>
            </w:tcMar>
            <w:tcBorders>
              <w:bottom w:val="single" w:sz="3" w:color="D9E0EA"/>
            </w:tcBorders>
          </w:tcPr>
          <w:p>
            <w:r>
              <w:rPr>
                <w:rFonts w:ascii="Arial" w:hAnsi="Arial" w:eastAsia="Arial"/>
                <w:b w:val="0"/>
                <w:color w:val="111827"/>
                <w:sz w:val="15"/>
              </w:rPr>
              <w:t>Baseline vs follow-up data</w:t>
            </w:r>
          </w:p>
        </w:tc>
      </w:tr>
    </w:tbl>
    <w:p>
      <w:pPr>
        <w:pStyle w:val="SmallCapsLabel"/>
      </w:pPr>
      <w:r>
        <w:t>SCOPE CONTROL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10. Delivery, Governance &amp; Safeguards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Participant readiness and use case are defined before implementation so the programme can focus on outcomes rather than uncontrolled feature requests.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The SME provides only the business information required for the agreed use case; unnecessary sensitive customer or financial information should not be used in training.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AI-generated output is reviewed and tested. Participants are trained to verify results rather than accept model output without checking.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Live external integrations are activated only when credentials, commercial terms and security responsibilities are explicitly agreed.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Licensed accountants, tax agents, legal advisers and other regulated professionals are not replaced by the programme.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Post-programme adoption should be reviewed before wider scale-up so cost, support load and business impact can be validated.</w:t>
      </w:r>
    </w:p>
    <w:p>
      <w:pPr>
        <w:pStyle w:val="SmallCapsLabel"/>
      </w:pPr>
      <w:r>
        <w:t>START CONTROLLED, SCALE ON EVIDENCE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11. Proposed Implementation Path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PHASE 1 — EXECUTIVE DEMONSTRATION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Demonstrate AINNA Agent, programme website, e-commerce flow and SME management examples in a controlled environment.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PHASE 2 — PILOT DESIGN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Agree cohort size, participant profile, location, training dates, use-case boundaries, infrastructure and measurable outcomes.</w:t>
            </w:r>
          </w:p>
        </w:tc>
      </w:tr>
      <w:tr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6F1E9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PHASE 3 — 11-DAY PROGRAMME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Run the four practical modules and produce working SME systems with final demonstrations.</w:t>
            </w:r>
          </w:p>
        </w:tc>
        <w:tc>
          <w:tcPr>
            <w:tcW w:type="dxa" w:w="5083"/>
            <w:tcMar>
              <w:top w:w="100" w:type="dxa"/>
              <w:start w:w="110" w:type="dxa"/>
              <w:bottom w:w="100" w:type="dxa"/>
              <w:end w:w="110" w:type="dxa"/>
            </w:tcMar>
            <w:shd w:fill="F7F9FC"/>
            <w:tcBorders>
              <w:top w:val="single" w:sz="5" w:color="D3A33B"/>
            </w:tcBorders>
          </w:tcPr>
          <w:p>
            <w:r>
              <w:rPr>
                <w:rFonts w:ascii="Arial" w:hAnsi="Arial" w:eastAsia="Arial"/>
                <w:b/>
                <w:color w:val="071D46"/>
                <w:sz w:val="18"/>
              </w:rPr>
              <w:t>PHASE 4 — ADOPTION REVIEW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4B5563"/>
                <w:sz w:val="17"/>
              </w:rPr>
              <w:t>Review continued usage, practical business impact, support requirements and lessons before repeating or expanding the programme.</w:t>
            </w:r>
          </w:p>
        </w:tc>
      </w:tr>
    </w:tbl>
    <w:p>
      <w:pPr>
        <w:pStyle w:val="SmallCapsLabel"/>
      </w:pPr>
      <w:r>
        <w:t>TO BE AGREED WITH PROGRAMME DESIGN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12. Commercial &amp; Scoping Framework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p>
      <w:r>
        <w:rPr>
          <w:rFonts w:ascii="Arial" w:hAnsi="Arial" w:eastAsia="Arial"/>
          <w:b/>
          <w:color w:val="071D46"/>
          <w:sz w:val="19"/>
        </w:rPr>
        <w:t xml:space="preserve">This proposal intentionally separates the programme concept from the final commercial quotation. </w:t>
      </w:r>
      <w:r>
        <w:rPr>
          <w:rFonts w:ascii="Arial" w:hAnsi="Arial" w:eastAsia="Arial"/>
          <w:color w:val="111827"/>
          <w:sz w:val="19"/>
        </w:rPr>
        <w:t>Final pricing should be issued only after participant count, venue, trainer requirements, delivery schedule, infrastructure capacity, support period and integration scope are confirmed.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Training and implementation fees — subject to agreed cohort and delivery model.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Infrastructure — capacity, period and support level to be specified in the final quotation.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Travel/logistics — quoted separately where applicable.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Third-party fees — domain, payment gateway, courier, subscriptions and external platform charges remain subject to provider terms unless explicitly included.</w:t>
      </w:r>
    </w:p>
    <w:p>
      <w:pPr>
        <w:pStyle w:val="ListBullet"/>
        <w:spacing w:after="50"/>
      </w:pPr>
      <w:r>
        <w:rPr>
          <w:rFonts w:ascii="Arial" w:hAnsi="Arial" w:eastAsia="Arial"/>
          <w:color w:val="111827"/>
          <w:sz w:val="19"/>
        </w:rPr>
        <w:t>Custom enterprise integration — scoped and quoted separately where required.</w:t>
      </w:r>
    </w:p>
    <w:p>
      <w:r>
        <w:br w:type="page"/>
      </w:r>
    </w:p>
    <w:p>
      <w:pPr>
        <w:pStyle w:val="SmallCapsLabel"/>
      </w:pPr>
      <w:r>
        <w:t>DECISION PATH</w:t>
      </w:r>
    </w:p>
    <w:p>
      <w:pPr>
        <w:pStyle w:val="Heading1"/>
      </w:pPr>
      <w:r>
        <w:rPr>
          <w:rFonts w:ascii="Arial" w:hAnsi="Arial" w:eastAsia="Arial"/>
          <w:b/>
          <w:color w:val="071D46"/>
          <w:sz w:val="36"/>
        </w:rPr>
        <w:t>13. Proposed Next Steps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3A33B"/>
            <w:tcMar>
              <w:top w:w="8" w:type="dxa"/>
              <w:start w:w="0" w:type="dxa"/>
              <w:bottom w:w="8" w:type="dxa"/>
              <w:end w:w="0" w:type="dxa"/>
            </w:tcMar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D3A33B"/>
                <w:sz w:val="26"/>
              </w:rPr>
              <w:t>01</w:t>
            </w:r>
          </w:p>
        </w:tc>
        <w:tc>
          <w:tcPr>
            <w:tcW w:type="dxa" w:w="5083"/>
            <w:tcMar>
              <w:top w:w="85" w:type="dxa"/>
              <w:start w:w="100" w:type="dxa"/>
              <w:bottom w:w="85" w:type="dxa"/>
              <w:end w:w="100" w:type="dxa"/>
            </w:tcMar>
            <w:shd w:fill="F6F1E9"/>
          </w:tcPr>
          <w:p>
            <w:r>
              <w:rPr>
                <w:rFonts w:ascii="Arial" w:hAnsi="Arial" w:eastAsia="Arial"/>
                <w:color w:val="111827"/>
                <w:sz w:val="18"/>
              </w:rPr>
              <w:t>Executive demonstration of the PUNJ × AINNA programme website, AINNA Agent and working SME system flow.</w:t>
            </w:r>
          </w:p>
        </w:tc>
      </w:tr>
      <w:tr>
        <w:tc>
          <w:tcPr>
            <w:tcW w:type="dxa" w:w="5083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D3A33B"/>
                <w:sz w:val="26"/>
              </w:rPr>
              <w:t>02</w:t>
            </w:r>
          </w:p>
        </w:tc>
        <w:tc>
          <w:tcPr>
            <w:tcW w:type="dxa" w:w="5083"/>
            <w:tcMar>
              <w:top w:w="85" w:type="dxa"/>
              <w:start w:w="100" w:type="dxa"/>
              <w:bottom w:w="85" w:type="dxa"/>
              <w:end w:w="100" w:type="dxa"/>
            </w:tcMar>
            <w:shd w:fill="F6F1E9"/>
          </w:tcPr>
          <w:p>
            <w:r>
              <w:rPr>
                <w:rFonts w:ascii="Arial" w:hAnsi="Arial" w:eastAsia="Arial"/>
                <w:color w:val="111827"/>
                <w:sz w:val="18"/>
              </w:rPr>
              <w:t>Agree target cohort, participant criteria, venue, delivery sequence and programme dates.</w:t>
            </w:r>
          </w:p>
        </w:tc>
      </w:tr>
      <w:tr>
        <w:tc>
          <w:tcPr>
            <w:tcW w:type="dxa" w:w="5083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D3A33B"/>
                <w:sz w:val="26"/>
              </w:rPr>
              <w:t>03</w:t>
            </w:r>
          </w:p>
        </w:tc>
        <w:tc>
          <w:tcPr>
            <w:tcW w:type="dxa" w:w="5083"/>
            <w:tcMar>
              <w:top w:w="85" w:type="dxa"/>
              <w:start w:w="100" w:type="dxa"/>
              <w:bottom w:w="85" w:type="dxa"/>
              <w:end w:w="100" w:type="dxa"/>
            </w:tcMar>
            <w:shd w:fill="F6F1E9"/>
          </w:tcPr>
          <w:p>
            <w:r>
              <w:rPr>
                <w:rFonts w:ascii="Arial" w:hAnsi="Arial" w:eastAsia="Arial"/>
                <w:color w:val="111827"/>
                <w:sz w:val="18"/>
              </w:rPr>
              <w:t>Define baseline information, selected SME use cases, KPI and data boundaries.</w:t>
            </w:r>
          </w:p>
        </w:tc>
      </w:tr>
      <w:tr>
        <w:tc>
          <w:tcPr>
            <w:tcW w:type="dxa" w:w="5083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D3A33B"/>
                <w:sz w:val="26"/>
              </w:rPr>
              <w:t>04</w:t>
            </w:r>
          </w:p>
        </w:tc>
        <w:tc>
          <w:tcPr>
            <w:tcW w:type="dxa" w:w="5083"/>
            <w:tcMar>
              <w:top w:w="85" w:type="dxa"/>
              <w:start w:w="100" w:type="dxa"/>
              <w:bottom w:w="85" w:type="dxa"/>
              <w:end w:w="100" w:type="dxa"/>
            </w:tcMar>
            <w:shd w:fill="F6F1E9"/>
          </w:tcPr>
          <w:p>
            <w:r>
              <w:rPr>
                <w:rFonts w:ascii="Arial" w:hAnsi="Arial" w:eastAsia="Arial"/>
                <w:color w:val="111827"/>
                <w:sz w:val="18"/>
              </w:rPr>
              <w:t>Confirm infrastructure configuration, support period and final commercial scope.</w:t>
            </w:r>
          </w:p>
        </w:tc>
      </w:tr>
      <w:tr>
        <w:tc>
          <w:tcPr>
            <w:tcW w:type="dxa" w:w="5083"/>
            <w:shd w:fill="071D46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D3A33B"/>
                <w:sz w:val="26"/>
              </w:rPr>
              <w:t>05</w:t>
            </w:r>
          </w:p>
        </w:tc>
        <w:tc>
          <w:tcPr>
            <w:tcW w:type="dxa" w:w="5083"/>
            <w:tcMar>
              <w:top w:w="85" w:type="dxa"/>
              <w:start w:w="100" w:type="dxa"/>
              <w:bottom w:w="85" w:type="dxa"/>
              <w:end w:w="100" w:type="dxa"/>
            </w:tcMar>
            <w:shd w:fill="F6F1E9"/>
          </w:tcPr>
          <w:p>
            <w:r>
              <w:rPr>
                <w:rFonts w:ascii="Arial" w:hAnsi="Arial" w:eastAsia="Arial"/>
                <w:color w:val="111827"/>
                <w:sz w:val="18"/>
              </w:rPr>
              <w:t>Launch the 11-day programme and complete 30/60/90-day adoption review before wider rollout.</w:t>
            </w:r>
          </w:p>
        </w:tc>
      </w:tr>
    </w:tbl>
    <w:p>
      <w:pPr>
        <w:spacing w:before="320"/>
        <w:jc w:val="center"/>
      </w:pPr>
      <w:r>
        <w:rPr>
          <w:rFonts w:ascii="Arial" w:hAnsi="Arial" w:eastAsia="Arial"/>
          <w:b/>
          <w:color w:val="D3A33B"/>
          <w:sz w:val="16"/>
        </w:rPr>
        <w:t>FINAL PROPOSITION</w:t>
      </w:r>
    </w:p>
    <w:p>
      <w:pPr>
        <w:jc w:val="center"/>
      </w:pPr>
      <w:r>
        <w:rPr>
          <w:rFonts w:ascii="Arial" w:hAnsi="Arial" w:eastAsia="Arial"/>
          <w:b/>
          <w:color w:val="071D46"/>
          <w:sz w:val="26"/>
        </w:rPr>
        <w:t>Your SMEs already understand their businesses.</w:t>
        <w:br/>
        <w:t>AINNA gives them the AI capability, infrastructure and method to build what the business needs next.</w:t>
      </w:r>
    </w:p>
    <w:p>
      <w:pPr>
        <w:jc w:val="center"/>
      </w:pPr>
      <w:r>
        <w:rPr>
          <w:rFonts w:ascii="Arial" w:hAnsi="Arial" w:eastAsia="Arial"/>
          <w:b/>
          <w:color w:val="D3A33B"/>
          <w:sz w:val="18"/>
        </w:rPr>
        <w:t>TRAIN  →  BUILD  →  DEPLOY  →  OPERATE  →  IMPROVE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360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4B5563"/>
        <w:sz w:val="14"/>
      </w:rPr>
      <w:t xml:space="preserve">CONFIDENTIAL  •  PROPOSAL FOR DISCUSSION  •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color w:val="071D46"/>
        <w:sz w:val="15"/>
      </w:rPr>
      <w:t>PUNJ × AINNA  |  SME AI CAPABILITY PROGRAMME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9" w:lineRule="auto"/>
    </w:pPr>
    <w:rPr>
      <w:rFonts w:ascii="Arial" w:hAnsi="Arial" w:eastAsia="Arial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71D4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D34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10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D3A33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071D46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CapsLabel">
    <w:name w:val="Small Caps Label"/>
    <w:pPr>
      <w:spacing w:after="40"/>
    </w:pPr>
    <w:rPr>
      <w:rFonts w:ascii="Arial" w:hAnsi="Arial" w:eastAsia="Arial"/>
      <w:b/>
      <w:color w:val="D3A33B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PUNJ × AINNA SME AI Capability Programme — Proposal</dc:title>
  <dc:subject>11-Day, 4-Module SME AI Capability Programme</dc:subject>
  <dc:creator>AINNA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